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F8" w:rsidRDefault="000F5FF8" w:rsidP="000F5FF8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111111"/>
          <w:sz w:val="20"/>
          <w:szCs w:val="20"/>
          <w:u w:val="single"/>
        </w:rPr>
        <w:t>Books</w:t>
      </w:r>
    </w:p>
    <w:p w:rsidR="000F5FF8" w:rsidRDefault="000F5FF8" w:rsidP="000F5FF8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0"/>
          <w:szCs w:val="20"/>
        </w:rPr>
        <w:t>A. Horovitz &amp; M. Kremnitzer (eds.),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Current Trends in Criminal Procedure and Evidence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(Harry and Michael Sacher Institute for Legislative Research and Comparative Law, 2009). 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Style w:val="a3"/>
          <w:rFonts w:ascii="Arial" w:hAnsi="Arial" w:cs="Arial"/>
          <w:color w:val="111111"/>
          <w:sz w:val="20"/>
          <w:szCs w:val="20"/>
          <w:u w:val="single"/>
        </w:rPr>
        <w:t>Accepted for publication</w:t>
      </w:r>
    </w:p>
    <w:p w:rsidR="000F5FF8" w:rsidRDefault="000F5FF8" w:rsidP="000F5FF8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0"/>
          <w:szCs w:val="20"/>
        </w:rPr>
        <w:t>A. Horovitz,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Procedural and Evidential Aspects of Sentencing Hearings (</w:t>
      </w:r>
      <w:r>
        <w:rPr>
          <w:rFonts w:ascii="Arial" w:hAnsi="Arial" w:cs="Arial"/>
          <w:color w:val="111111"/>
          <w:sz w:val="20"/>
          <w:szCs w:val="20"/>
        </w:rPr>
        <w:t>book based on doctoral thesis, accepted for publication by the</w:t>
      </w:r>
      <w:r>
        <w:rPr>
          <w:rStyle w:val="apple-converted-space"/>
          <w:rFonts w:ascii="Arial" w:hAnsi="Arial" w:cs="Arial"/>
          <w:b/>
          <w:bCs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Harry and Michael Sacher Institute for Legislative Research and Comparative Law).</w:t>
      </w:r>
    </w:p>
    <w:p w:rsidR="000F5FF8" w:rsidRDefault="000F5FF8" w:rsidP="000F5FF8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</w:p>
    <w:p w:rsidR="000F5FF8" w:rsidRDefault="000F5FF8" w:rsidP="000F5FF8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111111"/>
          <w:sz w:val="20"/>
          <w:szCs w:val="20"/>
          <w:u w:val="single"/>
        </w:rPr>
        <w:t>Articles</w:t>
      </w:r>
    </w:p>
    <w:p w:rsidR="000F5FF8" w:rsidRDefault="000F5FF8" w:rsidP="000F5FF8">
      <w:pPr>
        <w:pStyle w:val="NormalWeb"/>
        <w:spacing w:before="0" w:beforeAutospacing="0" w:after="24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0"/>
          <w:szCs w:val="20"/>
        </w:rPr>
        <w:t>A. Horovitz &amp; T. Weigand, "The Protection of Victim's Dignity in the German &amp; Israeli Criminal Justice Systems"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</w:rPr>
        <w:t>(forthcoming, 2011)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Israel L. Rev.</w:t>
      </w:r>
      <w:r>
        <w:rPr>
          <w:rFonts w:ascii="Arial" w:hAnsi="Arial" w:cs="Arial"/>
          <w:b/>
          <w:bCs/>
          <w:color w:val="111111"/>
          <w:sz w:val="20"/>
          <w:szCs w:val="20"/>
        </w:rPr>
        <w:br/>
      </w:r>
      <w:r>
        <w:rPr>
          <w:rFonts w:ascii="Arial" w:hAnsi="Arial" w:cs="Arial"/>
          <w:b/>
          <w:bCs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t>A. Horovitz, "Section 300A of the Israeli Penal Law: On the Elusive Distinction between Elements of the Offence and Sentencing Facts", in: A. Horovitz &amp; M. Kremnitzer (eds.),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Current Trends in Criminal Procedure and Evidence</w:t>
      </w:r>
      <w:r>
        <w:rPr>
          <w:rFonts w:ascii="Arial" w:hAnsi="Arial" w:cs="Arial"/>
          <w:color w:val="111111"/>
          <w:sz w:val="20"/>
          <w:szCs w:val="20"/>
        </w:rPr>
        <w:t>(Harry and Michael Sacher Institute for Legislative Research and Comparative Law, 2009), 517-556.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A. Horovitz &amp; U. Segal, "The Ambiguous Nature of Ambiguity and Crime Control", 2</w:t>
      </w:r>
      <w:r>
        <w:rPr>
          <w:rStyle w:val="apple-converted-space"/>
          <w:rFonts w:ascii="Arial" w:hAnsi="Arial" w:cs="Arial"/>
          <w:b/>
          <w:bCs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NYU J. of Law &amp; Liberty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(2007), 542-557.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A. Horovitz, "The Emergence of Sentencing Hearings", 9(3)</w:t>
      </w:r>
      <w:r>
        <w:rPr>
          <w:rStyle w:val="apple-converted-space"/>
          <w:rFonts w:ascii="Arial" w:hAnsi="Arial" w:cs="Arial"/>
          <w:b/>
          <w:bCs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Punishment &amp; Society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(2007), 271-299.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A. Horovitz, "The Pre-Sentence Report and the Probation Officer: Comments on the Existing Legal Regime", in: M. Hovav, L. Sebba &amp; M. Amir (eds.),</w:t>
      </w:r>
      <w:r>
        <w:rPr>
          <w:rStyle w:val="a3"/>
          <w:rFonts w:ascii="Arial" w:hAnsi="Arial" w:cs="Arial"/>
          <w:color w:val="111111"/>
          <w:sz w:val="20"/>
          <w:szCs w:val="20"/>
        </w:rPr>
        <w:t>Trends in Criminology: Theory, Policy and Practice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(Harry and Michael Sacher Institute for Legislative Research and Comparative Law, 2003), 171- 207.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E. Harnon &amp; A. Horovitz, "Exclusionary Rules in the Israeli Legal System",</w:t>
      </w:r>
      <w:r>
        <w:rPr>
          <w:rFonts w:ascii="Arial" w:hAnsi="Arial" w:cs="Arial"/>
          <w:color w:val="111111"/>
          <w:sz w:val="20"/>
          <w:szCs w:val="20"/>
        </w:rPr>
        <w:br/>
        <w:t>in: C. Wasserstein (ed.),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Israeli Reports to the XIII International Congress of Comparative Law</w:t>
      </w:r>
      <w:r>
        <w:rPr>
          <w:rFonts w:ascii="Arial" w:hAnsi="Arial" w:cs="Arial"/>
          <w:color w:val="111111"/>
          <w:sz w:val="20"/>
          <w:szCs w:val="20"/>
        </w:rPr>
        <w:t>, 291 (Jerusalem, 1990).</w:t>
      </w:r>
    </w:p>
    <w:p w:rsidR="000F5FF8" w:rsidRDefault="000F5FF8" w:rsidP="000F5FF8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a3"/>
          <w:rFonts w:ascii="Arial" w:hAnsi="Arial" w:cs="Arial"/>
          <w:color w:val="111111"/>
          <w:sz w:val="20"/>
          <w:szCs w:val="20"/>
          <w:u w:val="single"/>
        </w:rPr>
        <w:t>Other Publications</w:t>
      </w:r>
    </w:p>
    <w:p w:rsidR="000F5FF8" w:rsidRDefault="000F5FF8" w:rsidP="000F5FF8">
      <w:pPr>
        <w:pStyle w:val="NormalWeb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0"/>
          <w:szCs w:val="20"/>
        </w:rPr>
        <w:t>A. Horovitz (ed.), M. Gur-Arye, Y. Kugler, D. Ohana, L. Sebba, D. Teichman, "</w:t>
      </w:r>
      <w:r>
        <w:rPr>
          <w:rFonts w:ascii="Arial" w:hAnsi="Arial" w:cs="Arial"/>
          <w:color w:val="111111"/>
          <w:sz w:val="20"/>
          <w:szCs w:val="20"/>
          <w:lang w:val="en-GB"/>
        </w:rPr>
        <w:t>Position Paper on the Proposal for Penal Law (Amendment 92 - Structuring Judicial Discretion in Sentencing), 5756-2006",</w:t>
      </w:r>
      <w:r>
        <w:rPr>
          <w:rStyle w:val="apple-converted-space"/>
          <w:rFonts w:ascii="Arial" w:hAnsi="Arial" w:cs="Arial"/>
          <w:color w:val="111111"/>
          <w:sz w:val="20"/>
          <w:szCs w:val="20"/>
          <w:lang w:val="en-GB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</w:rPr>
        <w:t>(forthcoming, 2011)</w:t>
      </w:r>
      <w:r>
        <w:rPr>
          <w:rStyle w:val="apple-converted-space"/>
          <w:rFonts w:ascii="Arial" w:hAnsi="Arial" w:cs="Arial"/>
          <w:b/>
          <w:bCs/>
          <w:color w:val="111111"/>
          <w:sz w:val="20"/>
          <w:szCs w:val="20"/>
        </w:rPr>
        <w:t> </w:t>
      </w:r>
      <w:r>
        <w:rPr>
          <w:rStyle w:val="a3"/>
          <w:rFonts w:ascii="Arial" w:hAnsi="Arial" w:cs="Arial"/>
          <w:color w:val="111111"/>
          <w:sz w:val="20"/>
          <w:szCs w:val="20"/>
        </w:rPr>
        <w:t>Hukim - Journal on Legislation.</w:t>
      </w:r>
    </w:p>
    <w:p w:rsidR="00427323" w:rsidRPr="000F5FF8" w:rsidRDefault="00427323" w:rsidP="000F5FF8">
      <w:pPr>
        <w:rPr>
          <w:rFonts w:hint="cs"/>
        </w:rPr>
      </w:pPr>
      <w:bookmarkStart w:id="0" w:name="_GoBack"/>
      <w:bookmarkEnd w:id="0"/>
    </w:p>
    <w:sectPr w:rsidR="00427323" w:rsidRPr="000F5FF8" w:rsidSect="00C75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B3"/>
    <w:rsid w:val="00002FC7"/>
    <w:rsid w:val="0003606F"/>
    <w:rsid w:val="000B74F2"/>
    <w:rsid w:val="000E6892"/>
    <w:rsid w:val="000F5FF8"/>
    <w:rsid w:val="001F67B3"/>
    <w:rsid w:val="00246272"/>
    <w:rsid w:val="00255057"/>
    <w:rsid w:val="00296BDE"/>
    <w:rsid w:val="002A26A2"/>
    <w:rsid w:val="002A487D"/>
    <w:rsid w:val="002B1073"/>
    <w:rsid w:val="002C1510"/>
    <w:rsid w:val="00311879"/>
    <w:rsid w:val="0039083C"/>
    <w:rsid w:val="003C0529"/>
    <w:rsid w:val="003E043C"/>
    <w:rsid w:val="003E7719"/>
    <w:rsid w:val="004202EA"/>
    <w:rsid w:val="00427323"/>
    <w:rsid w:val="00460210"/>
    <w:rsid w:val="00467B52"/>
    <w:rsid w:val="0048307A"/>
    <w:rsid w:val="00493A2B"/>
    <w:rsid w:val="004B37E9"/>
    <w:rsid w:val="004D6122"/>
    <w:rsid w:val="00504A87"/>
    <w:rsid w:val="005117E0"/>
    <w:rsid w:val="005A2FF6"/>
    <w:rsid w:val="005D1E56"/>
    <w:rsid w:val="00612B26"/>
    <w:rsid w:val="00650126"/>
    <w:rsid w:val="00676EE7"/>
    <w:rsid w:val="00735C44"/>
    <w:rsid w:val="00805C61"/>
    <w:rsid w:val="0083385D"/>
    <w:rsid w:val="00845341"/>
    <w:rsid w:val="0084545B"/>
    <w:rsid w:val="008D10D1"/>
    <w:rsid w:val="009113A0"/>
    <w:rsid w:val="00915850"/>
    <w:rsid w:val="00941093"/>
    <w:rsid w:val="0094238F"/>
    <w:rsid w:val="00972F6A"/>
    <w:rsid w:val="009A1DF4"/>
    <w:rsid w:val="009F0762"/>
    <w:rsid w:val="00A115CE"/>
    <w:rsid w:val="00A14F74"/>
    <w:rsid w:val="00A50887"/>
    <w:rsid w:val="00A55237"/>
    <w:rsid w:val="00A703EC"/>
    <w:rsid w:val="00AA6019"/>
    <w:rsid w:val="00AC1BA2"/>
    <w:rsid w:val="00AD0EE5"/>
    <w:rsid w:val="00B22C2C"/>
    <w:rsid w:val="00B372D7"/>
    <w:rsid w:val="00B559C2"/>
    <w:rsid w:val="00B73612"/>
    <w:rsid w:val="00BA4ED1"/>
    <w:rsid w:val="00BF4606"/>
    <w:rsid w:val="00C23E4D"/>
    <w:rsid w:val="00C46C89"/>
    <w:rsid w:val="00C75E27"/>
    <w:rsid w:val="00CA08E3"/>
    <w:rsid w:val="00CD2D7C"/>
    <w:rsid w:val="00CE0CC7"/>
    <w:rsid w:val="00CF7D69"/>
    <w:rsid w:val="00D1495D"/>
    <w:rsid w:val="00D326D5"/>
    <w:rsid w:val="00D7047F"/>
    <w:rsid w:val="00DC2596"/>
    <w:rsid w:val="00DF39B0"/>
    <w:rsid w:val="00E12A32"/>
    <w:rsid w:val="00E76962"/>
    <w:rsid w:val="00E82E0B"/>
    <w:rsid w:val="00E92FF2"/>
    <w:rsid w:val="00EA5890"/>
    <w:rsid w:val="00EA5F46"/>
    <w:rsid w:val="00EC1435"/>
    <w:rsid w:val="00ED4471"/>
    <w:rsid w:val="00F503ED"/>
    <w:rsid w:val="00F64E66"/>
    <w:rsid w:val="00FA6D14"/>
    <w:rsid w:val="00FA7493"/>
    <w:rsid w:val="00FD0282"/>
    <w:rsid w:val="00FF0558"/>
    <w:rsid w:val="00FF1D4B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4789D-98A5-40D2-A246-A5AB2C3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1F67B3"/>
  </w:style>
  <w:style w:type="character" w:styleId="a3">
    <w:name w:val="Strong"/>
    <w:basedOn w:val="a0"/>
    <w:uiPriority w:val="22"/>
    <w:qFormat/>
    <w:rsid w:val="001F67B3"/>
    <w:rPr>
      <w:b/>
      <w:bCs/>
    </w:rPr>
  </w:style>
  <w:style w:type="character" w:customStyle="1" w:styleId="apple-converted-space">
    <w:name w:val="apple-converted-space"/>
    <w:basedOn w:val="a0"/>
    <w:rsid w:val="001F67B3"/>
  </w:style>
  <w:style w:type="character" w:styleId="a4">
    <w:name w:val="Emphasis"/>
    <w:basedOn w:val="a0"/>
    <w:uiPriority w:val="20"/>
    <w:qFormat/>
    <w:rsid w:val="00460210"/>
    <w:rPr>
      <w:i/>
      <w:iCs/>
    </w:rPr>
  </w:style>
  <w:style w:type="character" w:styleId="Hyperlink">
    <w:name w:val="Hyperlink"/>
    <w:basedOn w:val="a0"/>
    <w:uiPriority w:val="99"/>
    <w:semiHidden/>
    <w:unhideWhenUsed/>
    <w:rsid w:val="00460210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2A487D"/>
    <w:pPr>
      <w:bidi w:val="0"/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Bechori</dc:creator>
  <cp:keywords/>
  <dc:description/>
  <cp:lastModifiedBy>Omer Bechori</cp:lastModifiedBy>
  <cp:revision>2</cp:revision>
  <dcterms:created xsi:type="dcterms:W3CDTF">2015-12-22T10:02:00Z</dcterms:created>
  <dcterms:modified xsi:type="dcterms:W3CDTF">2015-12-22T10:02:00Z</dcterms:modified>
</cp:coreProperties>
</file>