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7D" w:rsidRPr="002A487D" w:rsidRDefault="002A487D" w:rsidP="002A487D">
      <w:pPr>
        <w:bidi w:val="0"/>
        <w:spacing w:after="0" w:line="240" w:lineRule="auto"/>
        <w:rPr>
          <w:rFonts w:eastAsia="Times New Roman" w:cs="Times New Roman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Education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LL.D.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Hebrew University Faculty of Law, (Title of thesis: "Procedural and Evidential Aspects of Sentencing Hearings") 2004 (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summa cum laude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LL.M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., Law Department, London School of Economics, 1989 (with "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distinction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").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LL.B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., Hebrew University Faculty of Law, 1986 (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magna cum laude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color w:val="111111"/>
          <w:sz w:val="20"/>
          <w:szCs w:val="20"/>
        </w:rPr>
        <w:br/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br/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Academic Awards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Allan Bronfman Prize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(for outstanding thesis in the Humanities and Social Sciences), 2004.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Ellis &amp; Alma </w:t>
      </w:r>
      <w:proofErr w:type="spellStart"/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Birk</w:t>
      </w:r>
      <w:proofErr w:type="spellEnd"/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Scholars Award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2004.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Israel Academic Women Association Scholarship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1998.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Ambassador </w:t>
      </w:r>
      <w:proofErr w:type="spellStart"/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Shlomo</w:t>
      </w:r>
      <w:proofErr w:type="spellEnd"/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</w:t>
      </w:r>
      <w:proofErr w:type="spellStart"/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Argov</w:t>
      </w:r>
      <w:proofErr w:type="spellEnd"/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Scholarship for Graduate Studies at the London School of Economics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1987.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Dean's List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1984, 1985 (second and third year of law school).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Legal Experience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Member of the Advisory Committee on Criminal Procedure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, headed by Justice Miriam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Naor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of the Israeli Supreme Court (appointed by the Minister of Justice, 2005- present).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Legal services-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 counseling attorneys and private clients, in the field of criminal litigation (2005-present).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Bar Association activity-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speaker at various continuing education programs (2007, 2010) and chairperson at the Bar Association's Annual Conference (2008)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Partner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Weinroth &amp; Co. Law Offices (Tel-Aviv) - mainly focusing on large criminal cases in which the firm represented high profile clients (1993-97; 2003-04).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Associate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Weinroth &amp; Co. Law Offices (Tel-Aviv) - working as a defense attorney, particularly in white-collar crime cases (1989-92).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Parliamentary Assistant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, Prof. D.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Libai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(then M.K. and Chair of the Comptroller Committee of the Knesset) (1988-89).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Member of the Israeli </w:t>
      </w:r>
      <w:proofErr w:type="gramStart"/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Bar</w:t>
      </w:r>
      <w:proofErr w:type="gramEnd"/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Association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since 1987.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Law Clerk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, Prof. D.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Libai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&amp; D.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Sheinman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Law Offices (Tel-Aviv) - the firm specialized in criminal law, with focus on white-collar crime (1986-87).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Law Clerk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Justice E. Goldberg, Israel Supreme Court (1985-86).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Academic Experience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Senior Lecturer (adjunct track),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Hebrew University Faculty of Law (organizing and chairing a Criminal Law and Criminology workshop for LL.M. students, October 2010- present).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Adjunct Lecturer,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Hebrew University Faculty of Law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(organizing and chairing a Criminal Law and Criminology workshop for LL.M. students, 2009-10)).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Adjunct Lecturer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,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Radzyner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School of Law, Interdisciplinary Center (IDC), (required course on Criminal Procedure, two classes each year (2008-09, 2009-10, 2010-11); seminar on Sentencing Hearings (2010)).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Adjunct Lecturer,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Hebrew University Faculty of Law (basic course on Criminal Procedure and required courses on Basic Concepts of Criminal Law and Foundations of Criminal Procedure in the Institute of Criminology (2007-08)).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Post-Doctor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(part time),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Hebrew University Faculty of Law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(required courses on Basic Concepts of Criminal Law and Foundations of Criminal Procedure in the Institute of Criminology (2006-07)).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Doctor-Instructor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Hebrew University Faculty of Law (basic course on Criminal Procedure, three consecutive semesters; and the development and instruction of two required courses: Basic Concepts of Criminal Law and Foundations of Criminal Procedure in the Institute of Criminology, (2004-05)).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Instructor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(part time),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Hebrew University Faculty of Law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(required course on Criminal Procedure and Evidence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in the Institute of Criminology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,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 (2004)).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Visiting Scholar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Fordham University Law School (New York), (1999-2001).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Adjunct Lecturer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Hebrew University Faculty of Law (required course on Criminal Procedure and Evidence in the Institute of Criminology, (1997, 1999)).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Teaching and Research Assistant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Prof. A. Barak, Hebrew University Faculty of Law (teaching assistance in a course on the Law of Bills and research in the field of Legal Interpretation, (1988-89)).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lastRenderedPageBreak/>
        <w:t>Research Assistant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, the late Dr. Y.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Hassin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>, Hebrew University Faculty of Law, Institute of Criminology, (research on juvenile delinquency (1988-89)).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Research Assistant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, Prof. J.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Tempkin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Law Department, London School of Economics, (research on testimony of children in courts, in child abuse cases, (1987-88)).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color w:val="111111"/>
          <w:sz w:val="20"/>
          <w:szCs w:val="20"/>
        </w:rPr>
        <w:br/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Research Groups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The Jerusalem Criminal Justice Study Group, 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(member (1998-present); coordinator and chairperson (2005-06; 2009-10)).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Research Group on Human Dignity: Its Constitutional Status and Influence on Criminal Law and Procedure in Israel and Germany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, the group conducted research over a period of three years, through the support of German Israel Foundation (GIF) (member, (2006-09)). 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br/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br/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Other Academic Activity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Visiting Editor- 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Hukim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- Journal on Legislation (</w:t>
      </w:r>
      <w:r w:rsidRPr="002A487D">
        <w:rPr>
          <w:rFonts w:ascii="Arial" w:eastAsia="Times New Roman" w:hAnsi="Arial" w:cs="Arial"/>
          <w:i/>
          <w:iCs/>
          <w:color w:val="111111"/>
          <w:sz w:val="20"/>
          <w:szCs w:val="20"/>
        </w:rPr>
        <w:t>forthcoming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 volume on Proposal to Criminal Procedure Law (Amendment- Plea Bargains), 2011.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Advisor- 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Hukim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- Journal on Legislation (future volume on </w:t>
      </w:r>
      <w:r w:rsidRPr="002A487D">
        <w:rPr>
          <w:rFonts w:ascii="Arial" w:eastAsia="Times New Roman" w:hAnsi="Arial" w:cs="Arial"/>
          <w:color w:val="111111"/>
          <w:sz w:val="20"/>
          <w:szCs w:val="20"/>
          <w:lang w:val="en-GB"/>
        </w:rPr>
        <w:t>the Proposal for Penal Law (Amendment 92 - Structuring Judicial Discretion in Sentencing), 2009).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Conferences &amp; Workshops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Panel on special report of the Public Committee against </w:t>
      </w:r>
      <w:proofErr w:type="spellStart"/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Torture:</w:t>
      </w:r>
      <w:r w:rsidRPr="002A487D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2A487D">
        <w:rPr>
          <w:rFonts w:ascii="Arial" w:eastAsia="Times New Roman" w:hAnsi="Arial" w:cs="Arial"/>
          <w:b/>
          <w:bCs/>
          <w:color w:val="000000"/>
          <w:sz w:val="20"/>
          <w:szCs w:val="20"/>
        </w:rPr>
        <w:t>When</w:t>
      </w:r>
      <w:proofErr w:type="spellEnd"/>
      <w:r w:rsidRPr="002A487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Exception Becomes the Rule: Incommunicado Holding of Palestinian Detainees"- </w:t>
      </w:r>
      <w:r w:rsidRPr="002A487D">
        <w:rPr>
          <w:rFonts w:ascii="Arial" w:eastAsia="Times New Roman" w:hAnsi="Arial" w:cs="Arial"/>
          <w:color w:val="000000"/>
          <w:sz w:val="20"/>
          <w:szCs w:val="20"/>
        </w:rPr>
        <w:t>organizer of panel and moderator (Jerusalem, 2010).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color w:val="111111"/>
          <w:sz w:val="18"/>
          <w:szCs w:val="18"/>
        </w:rPr>
        <w:t> 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Conference on "Current Trends in Criminal Procedure and Evidence"-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organizer of the conference (together with Prof. M.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Kremnitzer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>) and chairperson (Jerusalem, 2009).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color w:val="111111"/>
          <w:sz w:val="18"/>
          <w:szCs w:val="18"/>
        </w:rPr>
        <w:t> 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Conference on </w:t>
      </w: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  <w:lang w:val="en-GB"/>
        </w:rPr>
        <w:t>Proposal for Penal Law (Amendment 92 - Structuring Judicial Discretion in Sentencing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- speaker (Jerusalem, 2009).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International Conference on Human Dignity and the Criminal Law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- presentation of a paper written with Prof. T.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Weigand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on "The Protection of Victim's Dignity in the German &amp; Israeli Criminal Justice Systems" (Jerusalem, 2009).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Sentencing Workshop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- comment on paper written by Prof. R.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Kannai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on the "Burden of Proof at Sentencing" (Bar-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Ilan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>, 2007).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Lawyers' Duties- Conference in Memory of Dr. David Weiner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- chairperson (Jerusalem, 2007).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International Conference on: </w:t>
      </w:r>
      <w:r w:rsidRPr="002A487D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</w:rPr>
        <w:t>Foundations of Evidence La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w- chairperson (Jerusalem, 2006).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Conference on Criminal Legislation and Sentencing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- organizer of the conference (together with Prof. A.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Harel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>), presentation of the position paper "The Jerusalem Criminal Justice Study Group- Comments on the Proposal for Penal Law (Amendment - Structure of Judicial Discretion in Sentencing), 2005" and chairperson (Jerusalem, 2006).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Conference on Juvenile Courts in a Changing World- Theoretical and Practical Aspects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- chairperson (Jerusalem, 2005).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Graduate Student Workshop, Law and Society Association Meeting-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>presentation of research proposal (Miami, 2000).</w:t>
      </w:r>
    </w:p>
    <w:p w:rsidR="002A487D" w:rsidRPr="002A487D" w:rsidRDefault="002A487D" w:rsidP="002A487D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2A487D">
        <w:rPr>
          <w:rFonts w:ascii="Arial" w:eastAsia="Times New Roman" w:hAnsi="Arial" w:cs="Arial"/>
          <w:b/>
          <w:bCs/>
          <w:color w:val="111111"/>
          <w:sz w:val="20"/>
          <w:szCs w:val="20"/>
        </w:rPr>
        <w:t>XII International Congress of Comparative Law</w:t>
      </w:r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- presentation of paper (written with Prof. E. </w:t>
      </w:r>
      <w:proofErr w:type="spellStart"/>
      <w:r w:rsidRPr="002A487D">
        <w:rPr>
          <w:rFonts w:ascii="Arial" w:eastAsia="Times New Roman" w:hAnsi="Arial" w:cs="Arial"/>
          <w:color w:val="111111"/>
          <w:sz w:val="20"/>
          <w:szCs w:val="20"/>
        </w:rPr>
        <w:t>Harnon</w:t>
      </w:r>
      <w:proofErr w:type="spellEnd"/>
      <w:r w:rsidRPr="002A487D">
        <w:rPr>
          <w:rFonts w:ascii="Arial" w:eastAsia="Times New Roman" w:hAnsi="Arial" w:cs="Arial"/>
          <w:color w:val="111111"/>
          <w:sz w:val="20"/>
          <w:szCs w:val="20"/>
        </w:rPr>
        <w:t xml:space="preserve"> on "Exclusionary Rules in the Israeli Legal System" (Montreal, 1990).</w:t>
      </w:r>
    </w:p>
    <w:p w:rsidR="00427323" w:rsidRPr="002A487D" w:rsidRDefault="00427323" w:rsidP="002A487D">
      <w:bookmarkStart w:id="0" w:name="_GoBack"/>
      <w:bookmarkEnd w:id="0"/>
    </w:p>
    <w:sectPr w:rsidR="00427323" w:rsidRPr="002A487D" w:rsidSect="00C75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B3"/>
    <w:rsid w:val="00002FC7"/>
    <w:rsid w:val="0003606F"/>
    <w:rsid w:val="000B74F2"/>
    <w:rsid w:val="000E6892"/>
    <w:rsid w:val="001F67B3"/>
    <w:rsid w:val="00246272"/>
    <w:rsid w:val="00255057"/>
    <w:rsid w:val="00296BDE"/>
    <w:rsid w:val="002A26A2"/>
    <w:rsid w:val="002A487D"/>
    <w:rsid w:val="002B1073"/>
    <w:rsid w:val="002C1510"/>
    <w:rsid w:val="00311879"/>
    <w:rsid w:val="0039083C"/>
    <w:rsid w:val="003C0529"/>
    <w:rsid w:val="003E043C"/>
    <w:rsid w:val="003E7719"/>
    <w:rsid w:val="004202EA"/>
    <w:rsid w:val="00427323"/>
    <w:rsid w:val="00460210"/>
    <w:rsid w:val="00467B52"/>
    <w:rsid w:val="0048307A"/>
    <w:rsid w:val="00493A2B"/>
    <w:rsid w:val="004B37E9"/>
    <w:rsid w:val="004D6122"/>
    <w:rsid w:val="00504A87"/>
    <w:rsid w:val="005117E0"/>
    <w:rsid w:val="005A2FF6"/>
    <w:rsid w:val="005D1E56"/>
    <w:rsid w:val="00612B26"/>
    <w:rsid w:val="00650126"/>
    <w:rsid w:val="00676EE7"/>
    <w:rsid w:val="00735C44"/>
    <w:rsid w:val="00805C61"/>
    <w:rsid w:val="0083385D"/>
    <w:rsid w:val="00845341"/>
    <w:rsid w:val="0084545B"/>
    <w:rsid w:val="008D10D1"/>
    <w:rsid w:val="009113A0"/>
    <w:rsid w:val="00915850"/>
    <w:rsid w:val="00941093"/>
    <w:rsid w:val="0094238F"/>
    <w:rsid w:val="00972F6A"/>
    <w:rsid w:val="009A1DF4"/>
    <w:rsid w:val="009F0762"/>
    <w:rsid w:val="00A115CE"/>
    <w:rsid w:val="00A14F74"/>
    <w:rsid w:val="00A50887"/>
    <w:rsid w:val="00A55237"/>
    <w:rsid w:val="00A703EC"/>
    <w:rsid w:val="00AA6019"/>
    <w:rsid w:val="00AC1BA2"/>
    <w:rsid w:val="00AD0EE5"/>
    <w:rsid w:val="00B22C2C"/>
    <w:rsid w:val="00B372D7"/>
    <w:rsid w:val="00B559C2"/>
    <w:rsid w:val="00B73612"/>
    <w:rsid w:val="00BA4ED1"/>
    <w:rsid w:val="00BF4606"/>
    <w:rsid w:val="00C23E4D"/>
    <w:rsid w:val="00C46C89"/>
    <w:rsid w:val="00C75E27"/>
    <w:rsid w:val="00CA08E3"/>
    <w:rsid w:val="00CD2D7C"/>
    <w:rsid w:val="00CE0CC7"/>
    <w:rsid w:val="00CF7D69"/>
    <w:rsid w:val="00D1495D"/>
    <w:rsid w:val="00D326D5"/>
    <w:rsid w:val="00D7047F"/>
    <w:rsid w:val="00DC2596"/>
    <w:rsid w:val="00DF39B0"/>
    <w:rsid w:val="00E12A32"/>
    <w:rsid w:val="00E76962"/>
    <w:rsid w:val="00E82E0B"/>
    <w:rsid w:val="00E92FF2"/>
    <w:rsid w:val="00EA5890"/>
    <w:rsid w:val="00EA5F46"/>
    <w:rsid w:val="00EC1435"/>
    <w:rsid w:val="00ED4471"/>
    <w:rsid w:val="00F503ED"/>
    <w:rsid w:val="00F64E66"/>
    <w:rsid w:val="00FA6D14"/>
    <w:rsid w:val="00FA7493"/>
    <w:rsid w:val="00FD0282"/>
    <w:rsid w:val="00FF0558"/>
    <w:rsid w:val="00FF1D4B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4789D-98A5-40D2-A246-A5AB2C3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1F67B3"/>
  </w:style>
  <w:style w:type="character" w:styleId="a3">
    <w:name w:val="Strong"/>
    <w:basedOn w:val="a0"/>
    <w:uiPriority w:val="22"/>
    <w:qFormat/>
    <w:rsid w:val="001F67B3"/>
    <w:rPr>
      <w:b/>
      <w:bCs/>
    </w:rPr>
  </w:style>
  <w:style w:type="character" w:customStyle="1" w:styleId="apple-converted-space">
    <w:name w:val="apple-converted-space"/>
    <w:basedOn w:val="a0"/>
    <w:rsid w:val="001F67B3"/>
  </w:style>
  <w:style w:type="character" w:styleId="a4">
    <w:name w:val="Emphasis"/>
    <w:basedOn w:val="a0"/>
    <w:uiPriority w:val="20"/>
    <w:qFormat/>
    <w:rsid w:val="00460210"/>
    <w:rPr>
      <w:i/>
      <w:iCs/>
    </w:rPr>
  </w:style>
  <w:style w:type="character" w:styleId="Hyperlink">
    <w:name w:val="Hyperlink"/>
    <w:basedOn w:val="a0"/>
    <w:uiPriority w:val="99"/>
    <w:semiHidden/>
    <w:unhideWhenUsed/>
    <w:rsid w:val="00460210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2A487D"/>
    <w:pPr>
      <w:bidi w:val="0"/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Bechori</dc:creator>
  <cp:keywords/>
  <dc:description/>
  <cp:lastModifiedBy>Omer Bechori</cp:lastModifiedBy>
  <cp:revision>2</cp:revision>
  <dcterms:created xsi:type="dcterms:W3CDTF">2015-12-22T10:00:00Z</dcterms:created>
  <dcterms:modified xsi:type="dcterms:W3CDTF">2015-12-22T10:00:00Z</dcterms:modified>
</cp:coreProperties>
</file>