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A5A" w:rsidRDefault="00194A3C" w:rsidP="00EC29CC">
      <w:pPr>
        <w:shd w:val="clear" w:color="auto" w:fill="FFFFFF"/>
        <w:spacing w:after="0" w:line="360" w:lineRule="auto"/>
        <w:rPr>
          <w:rFonts w:ascii="Arial" w:eastAsia="Times New Roman" w:hAnsi="Arial" w:cs="Arial"/>
          <w:color w:val="222222"/>
          <w:sz w:val="24"/>
          <w:szCs w:val="24"/>
          <w:rtl/>
        </w:rPr>
      </w:pPr>
      <w:bookmarkStart w:id="0" w:name="_GoBack"/>
      <w:bookmarkEnd w:id="0"/>
      <w:r>
        <w:rPr>
          <w:rFonts w:ascii="Arial" w:eastAsia="Times New Roman" w:hAnsi="Arial" w:cs="Arial" w:hint="cs"/>
          <w:color w:val="222222"/>
          <w:sz w:val="24"/>
          <w:szCs w:val="24"/>
          <w:rtl/>
        </w:rPr>
        <w:t>המחקר מבקש להעמיק את הבנתנו ביחס ל</w:t>
      </w:r>
      <w:r w:rsidRPr="004D31E5">
        <w:rPr>
          <w:rFonts w:ascii="Arial" w:eastAsia="Times New Roman" w:hAnsi="Arial" w:cs="Arial" w:hint="cs"/>
          <w:b/>
          <w:bCs/>
          <w:color w:val="222222"/>
          <w:sz w:val="24"/>
          <w:szCs w:val="24"/>
          <w:rtl/>
        </w:rPr>
        <w:t>אמונות ולתפישות הקיימות בחברה המאופיינת בסכסוך מתמשך ועיקש,</w:t>
      </w:r>
      <w:r w:rsidR="0099097E" w:rsidRPr="004D31E5">
        <w:rPr>
          <w:rFonts w:ascii="Arial" w:eastAsia="Times New Roman" w:hAnsi="Arial" w:cs="Arial" w:hint="cs"/>
          <w:b/>
          <w:bCs/>
          <w:color w:val="222222"/>
          <w:sz w:val="24"/>
          <w:szCs w:val="24"/>
          <w:rtl/>
        </w:rPr>
        <w:t xml:space="preserve"> תוך התמקדות בסכסוך הישראלי פלסטיני</w:t>
      </w:r>
      <w:r w:rsidR="0099097E">
        <w:rPr>
          <w:rFonts w:ascii="Arial" w:eastAsia="Times New Roman" w:hAnsi="Arial" w:cs="Arial" w:hint="cs"/>
          <w:color w:val="222222"/>
          <w:sz w:val="24"/>
          <w:szCs w:val="24"/>
          <w:rtl/>
        </w:rPr>
        <w:t xml:space="preserve">. המחקר מתמקד </w:t>
      </w:r>
      <w:r w:rsidR="00D81D01">
        <w:rPr>
          <w:rFonts w:ascii="Arial" w:eastAsia="Times New Roman" w:hAnsi="Arial" w:cs="Arial" w:hint="cs"/>
          <w:color w:val="222222"/>
          <w:sz w:val="24"/>
          <w:szCs w:val="24"/>
          <w:rtl/>
        </w:rPr>
        <w:t xml:space="preserve">באותו </w:t>
      </w:r>
      <w:r w:rsidR="00D81D01" w:rsidRPr="007C2F6B">
        <w:rPr>
          <w:rFonts w:ascii="Arial" w:eastAsia="Times New Roman" w:hAnsi="Arial" w:cs="Arial" w:hint="cs"/>
          <w:b/>
          <w:bCs/>
          <w:color w:val="222222"/>
          <w:sz w:val="24"/>
          <w:szCs w:val="24"/>
          <w:rtl/>
        </w:rPr>
        <w:t>פלח אוכלוסייה בסכסוך, אשר באופן מסורתי מתנגד ליישוב הסכסוך בדרך של פשרה</w:t>
      </w:r>
      <w:r w:rsidR="00D81D01">
        <w:rPr>
          <w:rFonts w:ascii="Arial" w:eastAsia="Times New Roman" w:hAnsi="Arial" w:cs="Arial" w:hint="cs"/>
          <w:color w:val="222222"/>
          <w:sz w:val="24"/>
          <w:szCs w:val="24"/>
          <w:rtl/>
        </w:rPr>
        <w:t xml:space="preserve">. בהקשר של הסכסוך הישראלי-פלסטיני המחקר מתמקד </w:t>
      </w:r>
      <w:r w:rsidR="00D81D01" w:rsidRPr="004D31E5">
        <w:rPr>
          <w:rFonts w:ascii="Arial" w:eastAsia="Times New Roman" w:hAnsi="Arial" w:cs="Arial" w:hint="cs"/>
          <w:b/>
          <w:bCs/>
          <w:color w:val="222222"/>
          <w:sz w:val="24"/>
          <w:szCs w:val="24"/>
          <w:rtl/>
        </w:rPr>
        <w:t>בסקטור המתנחלי</w:t>
      </w:r>
      <w:r w:rsidR="00D81D01">
        <w:rPr>
          <w:rFonts w:ascii="Arial" w:eastAsia="Times New Roman" w:hAnsi="Arial" w:cs="Arial" w:hint="cs"/>
          <w:color w:val="222222"/>
          <w:sz w:val="24"/>
          <w:szCs w:val="24"/>
          <w:rtl/>
        </w:rPr>
        <w:t xml:space="preserve">, אשר רוב הנמנים עליו מתנגדים, באופן מסורתי, לישוב הסכסוך בדרך של פשרה טריטוריאלית ואחרת. כמו כן, המחקר מתמקד </w:t>
      </w:r>
      <w:r w:rsidR="00D81D01" w:rsidRPr="004D31E5">
        <w:rPr>
          <w:rFonts w:ascii="Arial" w:eastAsia="Times New Roman" w:hAnsi="Arial" w:cs="Arial" w:hint="cs"/>
          <w:b/>
          <w:bCs/>
          <w:color w:val="222222"/>
          <w:sz w:val="24"/>
          <w:szCs w:val="24"/>
          <w:rtl/>
        </w:rPr>
        <w:t>בבני נוער</w:t>
      </w:r>
      <w:r w:rsidR="00D81D01">
        <w:rPr>
          <w:rFonts w:ascii="Arial" w:eastAsia="Times New Roman" w:hAnsi="Arial" w:cs="Arial" w:hint="cs"/>
          <w:color w:val="222222"/>
          <w:sz w:val="24"/>
          <w:szCs w:val="24"/>
          <w:rtl/>
        </w:rPr>
        <w:t xml:space="preserve">. גיל הנעורים מהווה תקופה מעצבת בחיי האדם, במהלכה מתגבשת </w:t>
      </w:r>
      <w:r w:rsidR="00EC29CC">
        <w:rPr>
          <w:rFonts w:ascii="Arial" w:eastAsia="Times New Roman" w:hAnsi="Arial" w:cs="Arial" w:hint="cs"/>
          <w:color w:val="222222"/>
          <w:sz w:val="24"/>
          <w:szCs w:val="24"/>
          <w:rtl/>
        </w:rPr>
        <w:t xml:space="preserve">גם </w:t>
      </w:r>
      <w:r w:rsidR="00D81D01">
        <w:rPr>
          <w:rFonts w:ascii="Arial" w:eastAsia="Times New Roman" w:hAnsi="Arial" w:cs="Arial" w:hint="cs"/>
          <w:color w:val="222222"/>
          <w:sz w:val="24"/>
          <w:szCs w:val="24"/>
          <w:rtl/>
        </w:rPr>
        <w:t>תפישתו הפוליטית והאידאולוגית של הנוער ביחס למציאות חיי</w:t>
      </w:r>
      <w:r w:rsidR="00EC29CC">
        <w:rPr>
          <w:rFonts w:ascii="Arial" w:eastAsia="Times New Roman" w:hAnsi="Arial" w:cs="Arial" w:hint="cs"/>
          <w:color w:val="222222"/>
          <w:sz w:val="24"/>
          <w:szCs w:val="24"/>
          <w:rtl/>
        </w:rPr>
        <w:t>ו</w:t>
      </w:r>
      <w:r w:rsidR="00D81D01">
        <w:rPr>
          <w:rFonts w:ascii="Arial" w:eastAsia="Times New Roman" w:hAnsi="Arial" w:cs="Arial" w:hint="cs"/>
          <w:color w:val="222222"/>
          <w:sz w:val="24"/>
          <w:szCs w:val="24"/>
          <w:rtl/>
        </w:rPr>
        <w:t xml:space="preserve">, ובכלל </w:t>
      </w:r>
      <w:r w:rsidR="0077107D">
        <w:rPr>
          <w:rFonts w:ascii="Arial" w:eastAsia="Times New Roman" w:hAnsi="Arial" w:cs="Arial" w:hint="cs"/>
          <w:color w:val="222222"/>
          <w:sz w:val="24"/>
          <w:szCs w:val="24"/>
          <w:rtl/>
        </w:rPr>
        <w:t>זה ביחס לסכסוך הישראלי-פלסטיני.</w:t>
      </w:r>
    </w:p>
    <w:p w:rsidR="009F7A5A" w:rsidRDefault="009F7A5A" w:rsidP="00EC29CC">
      <w:pPr>
        <w:shd w:val="clear" w:color="auto" w:fill="FFFFFF"/>
        <w:spacing w:after="0" w:line="360" w:lineRule="auto"/>
        <w:rPr>
          <w:rFonts w:ascii="Arial" w:eastAsia="Times New Roman" w:hAnsi="Arial" w:cs="Arial"/>
          <w:color w:val="222222"/>
          <w:sz w:val="24"/>
          <w:szCs w:val="24"/>
          <w:rtl/>
        </w:rPr>
      </w:pPr>
    </w:p>
    <w:p w:rsidR="00163D9F" w:rsidRPr="00194A3C" w:rsidRDefault="009F7A5A" w:rsidP="00FC6158">
      <w:pPr>
        <w:shd w:val="clear" w:color="auto" w:fill="FFFFFF"/>
        <w:spacing w:after="0" w:line="36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בהינתן מיקוד זה באמונות ותפישות ביחס לסכסוך הישראלי פלסטיני בקרב </w:t>
      </w:r>
      <w:r w:rsidR="007E449A">
        <w:rPr>
          <w:rFonts w:ascii="Arial" w:eastAsia="Times New Roman" w:hAnsi="Arial" w:cs="Arial" w:hint="cs"/>
          <w:color w:val="222222"/>
          <w:sz w:val="24"/>
          <w:szCs w:val="24"/>
          <w:rtl/>
        </w:rPr>
        <w:t xml:space="preserve">נציגי הדור הצעיר </w:t>
      </w:r>
      <w:r w:rsidR="007E449A">
        <w:rPr>
          <w:rFonts w:cs="Arial" w:hint="cs"/>
          <w:sz w:val="24"/>
          <w:szCs w:val="24"/>
          <w:rtl/>
        </w:rPr>
        <w:t xml:space="preserve">של </w:t>
      </w:r>
      <w:r>
        <w:rPr>
          <w:rFonts w:cs="Arial" w:hint="cs"/>
          <w:sz w:val="24"/>
          <w:szCs w:val="24"/>
          <w:rtl/>
        </w:rPr>
        <w:t>ציבור ניצי</w:t>
      </w:r>
      <w:r w:rsidR="007E449A">
        <w:rPr>
          <w:rFonts w:cs="Arial" w:hint="cs"/>
          <w:sz w:val="24"/>
          <w:szCs w:val="24"/>
          <w:rtl/>
        </w:rPr>
        <w:t xml:space="preserve"> כלפי הסכסוך</w:t>
      </w:r>
      <w:r>
        <w:rPr>
          <w:rFonts w:cs="Arial" w:hint="cs"/>
          <w:sz w:val="24"/>
          <w:szCs w:val="24"/>
          <w:rtl/>
        </w:rPr>
        <w:t xml:space="preserve">, </w:t>
      </w:r>
      <w:r w:rsidR="00D81D01">
        <w:rPr>
          <w:rFonts w:ascii="Arial" w:eastAsia="Times New Roman" w:hAnsi="Arial" w:cs="Arial" w:hint="cs"/>
          <w:color w:val="222222"/>
          <w:sz w:val="24"/>
          <w:szCs w:val="24"/>
          <w:rtl/>
        </w:rPr>
        <w:t xml:space="preserve">מחקר זה </w:t>
      </w:r>
      <w:r w:rsidR="00B01D2C">
        <w:rPr>
          <w:rFonts w:ascii="Arial" w:eastAsia="Times New Roman" w:hAnsi="Arial" w:cs="Arial" w:hint="cs"/>
          <w:color w:val="222222"/>
          <w:sz w:val="24"/>
          <w:szCs w:val="24"/>
          <w:rtl/>
        </w:rPr>
        <w:t>מבקש לענות על השאלה</w:t>
      </w:r>
      <w:r w:rsidR="00194A3C">
        <w:rPr>
          <w:rFonts w:ascii="Arial" w:eastAsia="Times New Roman" w:hAnsi="Arial" w:cs="Arial" w:hint="cs"/>
          <w:color w:val="222222"/>
          <w:sz w:val="24"/>
          <w:szCs w:val="24"/>
          <w:rtl/>
        </w:rPr>
        <w:t xml:space="preserve"> </w:t>
      </w:r>
      <w:r w:rsidR="00163D9F" w:rsidRPr="00B01D2C">
        <w:rPr>
          <w:rFonts w:cs="Arial" w:hint="cs"/>
          <w:b/>
          <w:bCs/>
          <w:sz w:val="24"/>
          <w:szCs w:val="24"/>
          <w:rtl/>
        </w:rPr>
        <w:t xml:space="preserve">אלו אמונות, תחושות ותפישות בנוגע לסכסוך הישראלי-פלסטיני מתקיימות בקרב בני נוער ישראלים יהודים </w:t>
      </w:r>
      <w:r w:rsidR="00EC46BD">
        <w:rPr>
          <w:rFonts w:cs="Arial" w:hint="cs"/>
          <w:b/>
          <w:bCs/>
          <w:sz w:val="24"/>
          <w:szCs w:val="24"/>
          <w:rtl/>
        </w:rPr>
        <w:t>המתגורר</w:t>
      </w:r>
      <w:r w:rsidR="00FC6158">
        <w:rPr>
          <w:rFonts w:cs="Arial" w:hint="cs"/>
          <w:b/>
          <w:bCs/>
          <w:sz w:val="24"/>
          <w:szCs w:val="24"/>
          <w:rtl/>
        </w:rPr>
        <w:t>ים</w:t>
      </w:r>
      <w:r w:rsidR="00163D9F" w:rsidRPr="00B01D2C">
        <w:rPr>
          <w:rFonts w:cs="Arial" w:hint="cs"/>
          <w:b/>
          <w:bCs/>
          <w:sz w:val="24"/>
          <w:szCs w:val="24"/>
          <w:rtl/>
        </w:rPr>
        <w:t xml:space="preserve"> בישוב קהילתי מעבר לקו הירוק</w:t>
      </w:r>
      <w:r w:rsidR="00B01D2C" w:rsidRPr="00B01D2C">
        <w:rPr>
          <w:rFonts w:cs="Arial" w:hint="cs"/>
          <w:sz w:val="24"/>
          <w:szCs w:val="24"/>
          <w:rtl/>
        </w:rPr>
        <w:t>.</w:t>
      </w:r>
    </w:p>
    <w:p w:rsidR="00163D9F" w:rsidRDefault="00163D9F" w:rsidP="008E58AF">
      <w:pPr>
        <w:shd w:val="clear" w:color="auto" w:fill="FFFFFF"/>
        <w:spacing w:after="0" w:line="360" w:lineRule="auto"/>
        <w:rPr>
          <w:rFonts w:cs="Arial"/>
          <w:sz w:val="24"/>
          <w:szCs w:val="24"/>
          <w:rtl/>
        </w:rPr>
      </w:pPr>
    </w:p>
    <w:p w:rsidR="00530257" w:rsidRDefault="00382FAA" w:rsidP="00A76182">
      <w:pPr>
        <w:spacing w:after="0" w:line="360" w:lineRule="auto"/>
        <w:rPr>
          <w:rFonts w:cs="Arial"/>
          <w:b/>
          <w:bCs/>
          <w:sz w:val="24"/>
          <w:szCs w:val="24"/>
          <w:rtl/>
        </w:rPr>
      </w:pPr>
      <w:r>
        <w:rPr>
          <w:rFonts w:ascii="Arial" w:eastAsia="Times New Roman" w:hAnsi="Arial" w:cs="Arial" w:hint="cs"/>
          <w:color w:val="222222"/>
          <w:sz w:val="24"/>
          <w:szCs w:val="24"/>
          <w:rtl/>
        </w:rPr>
        <w:t>הספרות מציעה עושר מחקרי ביחס לאמונות ותפישות של סכסו</w:t>
      </w:r>
      <w:r w:rsidR="00021CF4">
        <w:rPr>
          <w:rFonts w:ascii="Arial" w:eastAsia="Times New Roman" w:hAnsi="Arial" w:cs="Arial" w:hint="cs"/>
          <w:color w:val="222222"/>
          <w:sz w:val="24"/>
          <w:szCs w:val="24"/>
          <w:rtl/>
        </w:rPr>
        <w:t>כים אתנו-לאומיים שונים</w:t>
      </w:r>
      <w:r w:rsidR="00785856">
        <w:rPr>
          <w:rFonts w:ascii="Arial" w:eastAsia="Times New Roman" w:hAnsi="Arial" w:cs="Arial" w:hint="cs"/>
          <w:color w:val="222222"/>
          <w:sz w:val="24"/>
          <w:szCs w:val="24"/>
          <w:rtl/>
        </w:rPr>
        <w:t>.</w:t>
      </w:r>
      <w:r>
        <w:rPr>
          <w:rFonts w:ascii="Arial" w:eastAsia="Times New Roman" w:hAnsi="Arial" w:cs="Arial" w:hint="cs"/>
          <w:color w:val="222222"/>
          <w:sz w:val="24"/>
          <w:szCs w:val="24"/>
          <w:rtl/>
        </w:rPr>
        <w:t xml:space="preserve"> (</w:t>
      </w:r>
      <w:r w:rsidR="00512D54">
        <w:rPr>
          <w:rFonts w:ascii="Arial" w:eastAsia="Times New Roman" w:hAnsi="Arial" w:cs="Arial" w:hint="cs"/>
          <w:color w:val="222222"/>
          <w:sz w:val="24"/>
          <w:szCs w:val="24"/>
          <w:rtl/>
        </w:rPr>
        <w:t>רשימה חלקית</w:t>
      </w:r>
      <w:r w:rsidR="007E449A">
        <w:rPr>
          <w:rFonts w:ascii="Arial" w:eastAsia="Times New Roman" w:hAnsi="Arial" w:cs="Arial" w:hint="cs"/>
          <w:color w:val="222222"/>
          <w:sz w:val="24"/>
          <w:szCs w:val="24"/>
          <w:rtl/>
        </w:rPr>
        <w:t xml:space="preserve"> כוללת</w:t>
      </w:r>
      <w:r w:rsidR="00512D54">
        <w:rPr>
          <w:rFonts w:ascii="Arial" w:eastAsia="Times New Roman" w:hAnsi="Arial" w:cs="Arial" w:hint="cs"/>
          <w:color w:val="222222"/>
          <w:sz w:val="24"/>
          <w:szCs w:val="24"/>
          <w:rtl/>
        </w:rPr>
        <w:t xml:space="preserve"> את</w:t>
      </w:r>
      <w:r w:rsidR="00512D54" w:rsidRPr="009B7464">
        <w:rPr>
          <w:rFonts w:cs="Arial"/>
          <w:b/>
          <w:bCs/>
          <w:sz w:val="24"/>
          <w:szCs w:val="24"/>
        </w:rPr>
        <w:t>Burton</w:t>
      </w:r>
      <w:r w:rsidR="00512D54">
        <w:rPr>
          <w:rFonts w:cs="Arial"/>
          <w:sz w:val="24"/>
          <w:szCs w:val="24"/>
        </w:rPr>
        <w:t xml:space="preserve">. 1987, </w:t>
      </w:r>
      <w:r w:rsidR="00512D54" w:rsidRPr="009B7464">
        <w:rPr>
          <w:rFonts w:cs="Arial"/>
          <w:b/>
          <w:bCs/>
          <w:sz w:val="24"/>
          <w:szCs w:val="24"/>
        </w:rPr>
        <w:t>Azar</w:t>
      </w:r>
      <w:r w:rsidR="00512D54">
        <w:rPr>
          <w:rFonts w:cs="Arial"/>
          <w:sz w:val="24"/>
          <w:szCs w:val="24"/>
        </w:rPr>
        <w:t xml:space="preserve">. 1990, </w:t>
      </w:r>
      <w:r w:rsidR="00512D54">
        <w:rPr>
          <w:rFonts w:cs="Arial"/>
          <w:b/>
          <w:bCs/>
          <w:sz w:val="24"/>
          <w:szCs w:val="24"/>
        </w:rPr>
        <w:t>Kriesberg</w:t>
      </w:r>
      <w:r w:rsidR="00512D54">
        <w:rPr>
          <w:rFonts w:cs="Arial"/>
          <w:sz w:val="24"/>
          <w:szCs w:val="24"/>
        </w:rPr>
        <w:t xml:space="preserve">. 1993, </w:t>
      </w:r>
      <w:r w:rsidR="00512D54" w:rsidRPr="00BB79D7">
        <w:rPr>
          <w:rFonts w:cs="Arial"/>
          <w:b/>
          <w:bCs/>
          <w:sz w:val="24"/>
          <w:szCs w:val="24"/>
        </w:rPr>
        <w:t>Bar-Tal</w:t>
      </w:r>
      <w:r w:rsidR="00512D54">
        <w:rPr>
          <w:rFonts w:cs="Arial"/>
          <w:sz w:val="24"/>
          <w:szCs w:val="24"/>
        </w:rPr>
        <w:t xml:space="preserve">. 1998,  </w:t>
      </w:r>
      <w:r w:rsidR="00512D54" w:rsidRPr="009B7464">
        <w:rPr>
          <w:rFonts w:cs="Arial"/>
          <w:b/>
          <w:bCs/>
          <w:sz w:val="24"/>
          <w:szCs w:val="24"/>
        </w:rPr>
        <w:t>Rouhana &amp; Bar-Tal</w:t>
      </w:r>
      <w:r w:rsidR="00512D54">
        <w:rPr>
          <w:rFonts w:cs="Arial"/>
          <w:sz w:val="24"/>
          <w:szCs w:val="24"/>
        </w:rPr>
        <w:t xml:space="preserve">. 1998. </w:t>
      </w:r>
      <w:r w:rsidR="00512D54">
        <w:rPr>
          <w:rFonts w:cs="Arial"/>
          <w:b/>
          <w:bCs/>
          <w:sz w:val="24"/>
          <w:szCs w:val="24"/>
        </w:rPr>
        <w:t>Salomon</w:t>
      </w:r>
      <w:r w:rsidR="00512D54">
        <w:rPr>
          <w:rFonts w:cs="Arial"/>
          <w:sz w:val="24"/>
          <w:szCs w:val="24"/>
        </w:rPr>
        <w:t xml:space="preserve">. 2002, </w:t>
      </w:r>
      <w:r w:rsidR="00512D54">
        <w:rPr>
          <w:rFonts w:cs="Arial"/>
          <w:b/>
          <w:bCs/>
          <w:sz w:val="24"/>
          <w:szCs w:val="24"/>
        </w:rPr>
        <w:t>Pronin, Gilovich &amp; Ross</w:t>
      </w:r>
      <w:r w:rsidR="00512D54">
        <w:rPr>
          <w:rFonts w:cs="Arial"/>
          <w:sz w:val="24"/>
          <w:szCs w:val="24"/>
        </w:rPr>
        <w:t xml:space="preserve">. 2004, </w:t>
      </w:r>
      <w:r w:rsidR="00512D54" w:rsidRPr="00BB79D7">
        <w:rPr>
          <w:rFonts w:ascii="Arial" w:eastAsia="Times New Roman" w:hAnsi="Arial" w:cs="Arial"/>
          <w:b/>
          <w:bCs/>
          <w:color w:val="000000"/>
        </w:rPr>
        <w:t xml:space="preserve">Sagi, Adwan </w:t>
      </w:r>
      <w:r w:rsidR="00512D54">
        <w:rPr>
          <w:rFonts w:ascii="Arial" w:eastAsia="Times New Roman" w:hAnsi="Arial" w:cs="Arial"/>
          <w:b/>
          <w:bCs/>
          <w:color w:val="000000"/>
        </w:rPr>
        <w:t>&amp;</w:t>
      </w:r>
      <w:r w:rsidR="00512D54" w:rsidRPr="00BB79D7">
        <w:rPr>
          <w:rFonts w:ascii="Arial" w:eastAsia="Times New Roman" w:hAnsi="Arial" w:cs="Arial"/>
          <w:b/>
          <w:bCs/>
          <w:color w:val="000000"/>
        </w:rPr>
        <w:t xml:space="preserve"> Kaplan</w:t>
      </w:r>
      <w:r w:rsidR="00512D54">
        <w:rPr>
          <w:rFonts w:ascii="Arial" w:eastAsia="Times New Roman" w:hAnsi="Arial" w:cs="Arial"/>
          <w:color w:val="000000"/>
        </w:rPr>
        <w:t>.</w:t>
      </w:r>
      <w:r w:rsidR="00512D54" w:rsidRPr="00BB79D7">
        <w:rPr>
          <w:rFonts w:ascii="Arial" w:eastAsia="Times New Roman" w:hAnsi="Arial" w:cs="Arial"/>
          <w:color w:val="000000"/>
        </w:rPr>
        <w:t xml:space="preserve"> 2002</w:t>
      </w:r>
      <w:r w:rsidR="00512D54">
        <w:rPr>
          <w:rFonts w:cs="Arial"/>
          <w:sz w:val="24"/>
          <w:szCs w:val="24"/>
        </w:rPr>
        <w:t xml:space="preserve">, </w:t>
      </w:r>
      <w:r w:rsidR="00512D54" w:rsidRPr="00512D54">
        <w:rPr>
          <w:rFonts w:cs="Arial"/>
          <w:sz w:val="24"/>
          <w:szCs w:val="24"/>
        </w:rPr>
        <w:t xml:space="preserve">and </w:t>
      </w:r>
      <w:r w:rsidR="00512D54" w:rsidRPr="001F1A25">
        <w:rPr>
          <w:rFonts w:cs="Arial"/>
          <w:b/>
          <w:bCs/>
          <w:sz w:val="24"/>
          <w:szCs w:val="24"/>
        </w:rPr>
        <w:t xml:space="preserve">Nathan, Trimble, </w:t>
      </w:r>
      <w:r w:rsidR="00512D54">
        <w:rPr>
          <w:rFonts w:cs="Arial"/>
          <w:b/>
          <w:bCs/>
          <w:sz w:val="24"/>
          <w:szCs w:val="24"/>
        </w:rPr>
        <w:t>&amp;</w:t>
      </w:r>
      <w:r w:rsidR="00512D54" w:rsidRPr="00BB79D7">
        <w:rPr>
          <w:rFonts w:cs="Arial"/>
          <w:sz w:val="24"/>
          <w:szCs w:val="24"/>
        </w:rPr>
        <w:t xml:space="preserve"> </w:t>
      </w:r>
      <w:r w:rsidR="00512D54" w:rsidRPr="001F1A25">
        <w:rPr>
          <w:rFonts w:cs="Arial"/>
          <w:b/>
          <w:bCs/>
          <w:sz w:val="24"/>
          <w:szCs w:val="24"/>
        </w:rPr>
        <w:t>Fuxman</w:t>
      </w:r>
      <w:r w:rsidR="00512D54">
        <w:rPr>
          <w:rFonts w:cs="Arial"/>
          <w:sz w:val="24"/>
          <w:szCs w:val="24"/>
        </w:rPr>
        <w:t>.</w:t>
      </w:r>
      <w:r w:rsidR="00512D54" w:rsidRPr="00BB79D7">
        <w:rPr>
          <w:rFonts w:cs="Arial"/>
          <w:sz w:val="24"/>
          <w:szCs w:val="24"/>
        </w:rPr>
        <w:t xml:space="preserve"> 2015</w:t>
      </w:r>
      <w:r w:rsidR="00512D54">
        <w:rPr>
          <w:rFonts w:cs="Arial"/>
          <w:sz w:val="24"/>
          <w:szCs w:val="24"/>
        </w:rPr>
        <w:t>,</w:t>
      </w:r>
      <w:r>
        <w:rPr>
          <w:rFonts w:ascii="Arial" w:eastAsia="Times New Roman" w:hAnsi="Arial" w:cs="Arial" w:hint="cs"/>
          <w:color w:val="222222"/>
          <w:sz w:val="24"/>
          <w:szCs w:val="24"/>
          <w:rtl/>
        </w:rPr>
        <w:t xml:space="preserve">) </w:t>
      </w:r>
      <w:r w:rsidR="00530257">
        <w:rPr>
          <w:rFonts w:ascii="Arial" w:eastAsia="Times New Roman" w:hAnsi="Arial" w:cs="Arial" w:hint="cs"/>
          <w:color w:val="222222"/>
          <w:sz w:val="24"/>
          <w:szCs w:val="24"/>
          <w:rtl/>
        </w:rPr>
        <w:t>קריסברג (</w:t>
      </w:r>
      <w:r w:rsidR="00530257">
        <w:rPr>
          <w:rFonts w:cs="Arial"/>
          <w:b/>
          <w:bCs/>
          <w:sz w:val="24"/>
          <w:szCs w:val="24"/>
        </w:rPr>
        <w:t>Kriesberg</w:t>
      </w:r>
      <w:r w:rsidR="00530257">
        <w:rPr>
          <w:rFonts w:cs="Arial"/>
          <w:sz w:val="24"/>
          <w:szCs w:val="24"/>
        </w:rPr>
        <w:t>. 1993</w:t>
      </w:r>
      <w:r w:rsidR="00530257">
        <w:rPr>
          <w:rFonts w:ascii="Arial" w:eastAsia="Times New Roman" w:hAnsi="Arial" w:cs="Arial" w:hint="cs"/>
          <w:color w:val="222222"/>
          <w:sz w:val="24"/>
          <w:szCs w:val="24"/>
          <w:rtl/>
        </w:rPr>
        <w:t>) הוא זה שטבע את המונח '</w:t>
      </w:r>
      <w:r w:rsidR="00530257" w:rsidRPr="00530257">
        <w:rPr>
          <w:rFonts w:ascii="Arial" w:eastAsia="Times New Roman" w:hAnsi="Arial" w:cs="Arial" w:hint="cs"/>
          <w:i/>
          <w:iCs/>
          <w:color w:val="222222"/>
          <w:sz w:val="24"/>
          <w:szCs w:val="24"/>
          <w:rtl/>
        </w:rPr>
        <w:t>עיקש</w:t>
      </w:r>
      <w:r w:rsidR="00530257">
        <w:rPr>
          <w:rFonts w:ascii="Arial" w:eastAsia="Times New Roman" w:hAnsi="Arial" w:cs="Arial" w:hint="cs"/>
          <w:color w:val="222222"/>
          <w:sz w:val="24"/>
          <w:szCs w:val="24"/>
          <w:rtl/>
        </w:rPr>
        <w:t>' (</w:t>
      </w:r>
      <w:r w:rsidR="00530257">
        <w:rPr>
          <w:rFonts w:ascii="Arial" w:eastAsia="Times New Roman" w:hAnsi="Arial" w:cs="Arial"/>
          <w:color w:val="222222"/>
          <w:sz w:val="24"/>
          <w:szCs w:val="24"/>
        </w:rPr>
        <w:t>intractable</w:t>
      </w:r>
      <w:r w:rsidR="00530257">
        <w:rPr>
          <w:rFonts w:ascii="Arial" w:eastAsia="Times New Roman" w:hAnsi="Arial" w:cs="Arial" w:hint="cs"/>
          <w:color w:val="222222"/>
          <w:sz w:val="24"/>
          <w:szCs w:val="24"/>
          <w:rtl/>
        </w:rPr>
        <w:t xml:space="preserve">) ביחס לסכסוך, בהתייחסו לכך שסכסוך עיקש הוא בעל מאפיינים המקשים על יישובו בדרכי שלום. </w:t>
      </w:r>
      <w:r w:rsidR="00530257">
        <w:rPr>
          <w:rFonts w:cs="Arial" w:hint="cs"/>
          <w:sz w:val="24"/>
          <w:szCs w:val="24"/>
          <w:rtl/>
        </w:rPr>
        <w:t>אזאר (</w:t>
      </w:r>
      <w:r w:rsidR="00530257" w:rsidRPr="009B7464">
        <w:rPr>
          <w:rFonts w:cs="Arial"/>
          <w:b/>
          <w:bCs/>
          <w:sz w:val="24"/>
          <w:szCs w:val="24"/>
        </w:rPr>
        <w:t>Azar</w:t>
      </w:r>
      <w:r w:rsidR="00530257">
        <w:rPr>
          <w:rFonts w:cs="Arial"/>
          <w:sz w:val="24"/>
          <w:szCs w:val="24"/>
        </w:rPr>
        <w:t>. 1990</w:t>
      </w:r>
      <w:r w:rsidR="00530257">
        <w:rPr>
          <w:rFonts w:cs="Arial" w:hint="cs"/>
          <w:sz w:val="24"/>
          <w:szCs w:val="24"/>
          <w:rtl/>
        </w:rPr>
        <w:t>) וברטון (</w:t>
      </w:r>
      <w:r w:rsidR="00530257" w:rsidRPr="009B7464">
        <w:rPr>
          <w:rFonts w:cs="Arial"/>
          <w:b/>
          <w:bCs/>
          <w:sz w:val="24"/>
          <w:szCs w:val="24"/>
        </w:rPr>
        <w:t>Burton</w:t>
      </w:r>
      <w:r w:rsidR="00530257">
        <w:rPr>
          <w:rFonts w:cs="Arial"/>
          <w:sz w:val="24"/>
          <w:szCs w:val="24"/>
        </w:rPr>
        <w:t>. 1987</w:t>
      </w:r>
      <w:r w:rsidR="00530257">
        <w:rPr>
          <w:rFonts w:cs="Arial" w:hint="cs"/>
          <w:sz w:val="24"/>
          <w:szCs w:val="24"/>
          <w:rtl/>
        </w:rPr>
        <w:t xml:space="preserve">) </w:t>
      </w:r>
      <w:r w:rsidR="00530257" w:rsidRPr="00955696">
        <w:rPr>
          <w:rFonts w:cs="Arial" w:hint="cs"/>
          <w:sz w:val="24"/>
          <w:szCs w:val="24"/>
          <w:rtl/>
        </w:rPr>
        <w:t>מאפיינים</w:t>
      </w:r>
      <w:r w:rsidR="00530257" w:rsidRPr="00955696">
        <w:rPr>
          <w:rFonts w:cs="Arial"/>
          <w:sz w:val="24"/>
          <w:szCs w:val="24"/>
          <w:rtl/>
        </w:rPr>
        <w:t xml:space="preserve"> </w:t>
      </w:r>
      <w:r w:rsidR="00530257" w:rsidRPr="00955696">
        <w:rPr>
          <w:rFonts w:cs="Arial" w:hint="cs"/>
          <w:sz w:val="24"/>
          <w:szCs w:val="24"/>
          <w:rtl/>
        </w:rPr>
        <w:t>סכסוכים</w:t>
      </w:r>
      <w:r w:rsidR="00530257" w:rsidRPr="00955696">
        <w:rPr>
          <w:rFonts w:cs="Arial"/>
          <w:sz w:val="24"/>
          <w:szCs w:val="24"/>
          <w:rtl/>
        </w:rPr>
        <w:t xml:space="preserve"> </w:t>
      </w:r>
      <w:r w:rsidR="00530257" w:rsidRPr="00955696">
        <w:rPr>
          <w:rFonts w:cs="Arial" w:hint="cs"/>
          <w:sz w:val="24"/>
          <w:szCs w:val="24"/>
          <w:rtl/>
        </w:rPr>
        <w:t>ממושכים</w:t>
      </w:r>
      <w:r w:rsidR="00530257" w:rsidRPr="00955696">
        <w:rPr>
          <w:rFonts w:cs="Arial"/>
          <w:sz w:val="24"/>
          <w:szCs w:val="24"/>
          <w:rtl/>
        </w:rPr>
        <w:t xml:space="preserve"> </w:t>
      </w:r>
      <w:r w:rsidR="00530257" w:rsidRPr="00955696">
        <w:rPr>
          <w:rFonts w:cs="Arial" w:hint="cs"/>
          <w:sz w:val="24"/>
          <w:szCs w:val="24"/>
          <w:rtl/>
        </w:rPr>
        <w:t>ככאלה</w:t>
      </w:r>
      <w:r w:rsidR="00530257" w:rsidRPr="00955696">
        <w:rPr>
          <w:rFonts w:cs="Arial"/>
          <w:sz w:val="24"/>
          <w:szCs w:val="24"/>
          <w:rtl/>
        </w:rPr>
        <w:t xml:space="preserve"> </w:t>
      </w:r>
      <w:r w:rsidR="00530257" w:rsidRPr="00955696">
        <w:rPr>
          <w:rFonts w:cs="Arial" w:hint="cs"/>
          <w:sz w:val="24"/>
          <w:szCs w:val="24"/>
          <w:rtl/>
        </w:rPr>
        <w:t>שעוסקים</w:t>
      </w:r>
      <w:r w:rsidR="00530257" w:rsidRPr="00955696">
        <w:rPr>
          <w:rFonts w:cs="Arial"/>
          <w:sz w:val="24"/>
          <w:szCs w:val="24"/>
          <w:rtl/>
        </w:rPr>
        <w:t xml:space="preserve"> </w:t>
      </w:r>
      <w:r w:rsidR="00530257" w:rsidRPr="00955696">
        <w:rPr>
          <w:rFonts w:cs="Arial" w:hint="cs"/>
          <w:sz w:val="24"/>
          <w:szCs w:val="24"/>
          <w:rtl/>
        </w:rPr>
        <w:t>בזהות</w:t>
      </w:r>
      <w:r w:rsidR="00530257" w:rsidRPr="00955696">
        <w:rPr>
          <w:rFonts w:cs="Arial"/>
          <w:sz w:val="24"/>
          <w:szCs w:val="24"/>
          <w:rtl/>
        </w:rPr>
        <w:t xml:space="preserve">, </w:t>
      </w:r>
      <w:r w:rsidR="00530257" w:rsidRPr="00955696">
        <w:rPr>
          <w:rFonts w:cs="Arial" w:hint="cs"/>
          <w:sz w:val="24"/>
          <w:szCs w:val="24"/>
          <w:rtl/>
        </w:rPr>
        <w:t>ביטחון</w:t>
      </w:r>
      <w:r w:rsidR="00530257" w:rsidRPr="00955696">
        <w:rPr>
          <w:rFonts w:cs="Arial"/>
          <w:sz w:val="24"/>
          <w:szCs w:val="24"/>
          <w:rtl/>
        </w:rPr>
        <w:t xml:space="preserve"> </w:t>
      </w:r>
      <w:r w:rsidR="00530257" w:rsidRPr="00955696">
        <w:rPr>
          <w:rFonts w:cs="Arial" w:hint="cs"/>
          <w:sz w:val="24"/>
          <w:szCs w:val="24"/>
          <w:rtl/>
        </w:rPr>
        <w:t>והכרה</w:t>
      </w:r>
      <w:r w:rsidR="00530257">
        <w:rPr>
          <w:rFonts w:cs="Arial" w:hint="cs"/>
          <w:sz w:val="24"/>
          <w:szCs w:val="24"/>
          <w:rtl/>
        </w:rPr>
        <w:t>.</w:t>
      </w:r>
      <w:r w:rsidR="00530257" w:rsidRPr="00955696">
        <w:rPr>
          <w:rFonts w:cs="Arial"/>
          <w:sz w:val="24"/>
          <w:szCs w:val="24"/>
          <w:rtl/>
        </w:rPr>
        <w:t xml:space="preserve"> </w:t>
      </w:r>
      <w:r w:rsidR="00530257">
        <w:rPr>
          <w:rFonts w:cs="Arial" w:hint="cs"/>
          <w:sz w:val="24"/>
          <w:szCs w:val="24"/>
          <w:rtl/>
        </w:rPr>
        <w:t>רוחאנה ובר-טל</w:t>
      </w:r>
      <w:r w:rsidR="00530257" w:rsidRPr="00955696">
        <w:rPr>
          <w:rFonts w:cs="Arial"/>
          <w:sz w:val="24"/>
          <w:szCs w:val="24"/>
        </w:rPr>
        <w:t xml:space="preserve"> </w:t>
      </w:r>
      <w:r w:rsidR="00530257">
        <w:rPr>
          <w:rFonts w:cs="Arial" w:hint="cs"/>
          <w:sz w:val="24"/>
          <w:szCs w:val="24"/>
          <w:rtl/>
        </w:rPr>
        <w:t xml:space="preserve"> </w:t>
      </w:r>
      <w:r w:rsidR="00530257" w:rsidRPr="00D93587">
        <w:rPr>
          <w:rFonts w:cs="Arial"/>
          <w:sz w:val="24"/>
          <w:szCs w:val="24"/>
          <w:rtl/>
        </w:rPr>
        <w:t>(</w:t>
      </w:r>
      <w:r w:rsidR="00530257" w:rsidRPr="009B7464">
        <w:rPr>
          <w:rFonts w:cs="Arial"/>
          <w:b/>
          <w:bCs/>
          <w:sz w:val="24"/>
          <w:szCs w:val="24"/>
        </w:rPr>
        <w:t>Rouhana &amp; Bar-Tal</w:t>
      </w:r>
      <w:r w:rsidR="00530257">
        <w:rPr>
          <w:rFonts w:cs="Arial"/>
          <w:sz w:val="24"/>
          <w:szCs w:val="24"/>
        </w:rPr>
        <w:t>. 1998</w:t>
      </w:r>
      <w:r w:rsidR="00530257" w:rsidRPr="00D93587">
        <w:rPr>
          <w:rFonts w:cs="Arial"/>
          <w:sz w:val="24"/>
          <w:szCs w:val="24"/>
          <w:rtl/>
        </w:rPr>
        <w:t>)</w:t>
      </w:r>
      <w:r w:rsidR="00530257">
        <w:rPr>
          <w:rFonts w:cs="Arial" w:hint="cs"/>
          <w:sz w:val="24"/>
          <w:szCs w:val="24"/>
          <w:rtl/>
        </w:rPr>
        <w:t xml:space="preserve"> </w:t>
      </w:r>
      <w:r w:rsidR="00530257" w:rsidRPr="00955696">
        <w:rPr>
          <w:rFonts w:cs="Arial" w:hint="cs"/>
          <w:sz w:val="24"/>
          <w:szCs w:val="24"/>
          <w:rtl/>
        </w:rPr>
        <w:t>מאפיינים</w:t>
      </w:r>
      <w:r w:rsidR="00530257" w:rsidRPr="00955696">
        <w:rPr>
          <w:rFonts w:cs="Arial"/>
          <w:sz w:val="24"/>
          <w:szCs w:val="24"/>
          <w:rtl/>
        </w:rPr>
        <w:t xml:space="preserve"> </w:t>
      </w:r>
      <w:r w:rsidR="00530257" w:rsidRPr="00955696">
        <w:rPr>
          <w:rFonts w:cs="Arial" w:hint="cs"/>
          <w:sz w:val="24"/>
          <w:szCs w:val="24"/>
          <w:rtl/>
        </w:rPr>
        <w:t>סכסוכים</w:t>
      </w:r>
      <w:r w:rsidR="00530257" w:rsidRPr="00955696">
        <w:rPr>
          <w:rFonts w:cs="Arial"/>
          <w:sz w:val="24"/>
          <w:szCs w:val="24"/>
          <w:rtl/>
        </w:rPr>
        <w:t xml:space="preserve"> </w:t>
      </w:r>
      <w:r w:rsidR="00530257" w:rsidRPr="00955696">
        <w:rPr>
          <w:rFonts w:cs="Arial" w:hint="cs"/>
          <w:sz w:val="24"/>
          <w:szCs w:val="24"/>
          <w:rtl/>
        </w:rPr>
        <w:t>ממושכים</w:t>
      </w:r>
      <w:r w:rsidR="00530257" w:rsidRPr="00955696">
        <w:rPr>
          <w:rFonts w:cs="Arial"/>
          <w:sz w:val="24"/>
          <w:szCs w:val="24"/>
          <w:rtl/>
        </w:rPr>
        <w:t xml:space="preserve"> </w:t>
      </w:r>
      <w:r w:rsidR="00530257" w:rsidRPr="00955696">
        <w:rPr>
          <w:rFonts w:cs="Arial" w:hint="cs"/>
          <w:sz w:val="24"/>
          <w:szCs w:val="24"/>
          <w:rtl/>
        </w:rPr>
        <w:t>ככאלה</w:t>
      </w:r>
      <w:r w:rsidR="00530257" w:rsidRPr="00955696">
        <w:rPr>
          <w:rFonts w:cs="Arial"/>
          <w:sz w:val="24"/>
          <w:szCs w:val="24"/>
          <w:rtl/>
        </w:rPr>
        <w:t xml:space="preserve"> </w:t>
      </w:r>
      <w:r w:rsidR="00530257" w:rsidRPr="00955696">
        <w:rPr>
          <w:rFonts w:cs="Arial" w:hint="cs"/>
          <w:sz w:val="24"/>
          <w:szCs w:val="24"/>
          <w:rtl/>
        </w:rPr>
        <w:t>הלוקים</w:t>
      </w:r>
      <w:r w:rsidR="00530257" w:rsidRPr="00955696">
        <w:rPr>
          <w:rFonts w:cs="Arial"/>
          <w:sz w:val="24"/>
          <w:szCs w:val="24"/>
          <w:rtl/>
        </w:rPr>
        <w:t xml:space="preserve"> </w:t>
      </w:r>
      <w:r w:rsidR="00530257" w:rsidRPr="00955696">
        <w:rPr>
          <w:rFonts w:cs="Arial" w:hint="cs"/>
          <w:sz w:val="24"/>
          <w:szCs w:val="24"/>
          <w:rtl/>
        </w:rPr>
        <w:t>בטוטליות</w:t>
      </w:r>
      <w:r w:rsidR="00530257">
        <w:rPr>
          <w:rFonts w:cs="Arial" w:hint="cs"/>
          <w:sz w:val="24"/>
          <w:szCs w:val="24"/>
          <w:rtl/>
        </w:rPr>
        <w:t>,</w:t>
      </w:r>
      <w:r w:rsidR="00530257" w:rsidRPr="00955696">
        <w:rPr>
          <w:rFonts w:cs="Arial"/>
          <w:sz w:val="24"/>
          <w:szCs w:val="24"/>
          <w:rtl/>
        </w:rPr>
        <w:t xml:space="preserve"> </w:t>
      </w:r>
      <w:r w:rsidR="00530257" w:rsidRPr="00955696">
        <w:rPr>
          <w:rFonts w:cs="Arial" w:hint="cs"/>
          <w:sz w:val="24"/>
          <w:szCs w:val="24"/>
          <w:rtl/>
        </w:rPr>
        <w:t>ממושכות</w:t>
      </w:r>
      <w:r w:rsidR="00530257" w:rsidRPr="00955696">
        <w:rPr>
          <w:rFonts w:cs="Arial"/>
          <w:sz w:val="24"/>
          <w:szCs w:val="24"/>
          <w:rtl/>
        </w:rPr>
        <w:t xml:space="preserve"> </w:t>
      </w:r>
      <w:r w:rsidR="00530257">
        <w:rPr>
          <w:rFonts w:cs="Arial" w:hint="cs"/>
          <w:sz w:val="24"/>
          <w:szCs w:val="24"/>
          <w:rtl/>
        </w:rPr>
        <w:t>(</w:t>
      </w:r>
      <w:r w:rsidR="00530257">
        <w:rPr>
          <w:rFonts w:cs="Arial"/>
          <w:sz w:val="24"/>
          <w:szCs w:val="24"/>
        </w:rPr>
        <w:t>protractedness</w:t>
      </w:r>
      <w:r w:rsidR="00530257">
        <w:rPr>
          <w:rFonts w:cs="Arial" w:hint="cs"/>
          <w:sz w:val="24"/>
          <w:szCs w:val="24"/>
          <w:rtl/>
        </w:rPr>
        <w:t xml:space="preserve">), </w:t>
      </w:r>
      <w:r w:rsidR="00530257" w:rsidRPr="00955696">
        <w:rPr>
          <w:rFonts w:cs="Arial" w:hint="cs"/>
          <w:sz w:val="24"/>
          <w:szCs w:val="24"/>
          <w:rtl/>
        </w:rPr>
        <w:t>מרכזיות</w:t>
      </w:r>
      <w:r w:rsidR="00530257">
        <w:rPr>
          <w:rFonts w:cs="Arial" w:hint="cs"/>
          <w:sz w:val="24"/>
          <w:szCs w:val="24"/>
          <w:rtl/>
        </w:rPr>
        <w:t>,</w:t>
      </w:r>
      <w:r w:rsidR="00530257" w:rsidRPr="00955696">
        <w:rPr>
          <w:rFonts w:cs="Arial"/>
          <w:sz w:val="24"/>
          <w:szCs w:val="24"/>
          <w:rtl/>
        </w:rPr>
        <w:t xml:space="preserve"> </w:t>
      </w:r>
      <w:r w:rsidR="00530257" w:rsidRPr="00955696">
        <w:rPr>
          <w:rFonts w:cs="Arial" w:hint="cs"/>
          <w:sz w:val="24"/>
          <w:szCs w:val="24"/>
          <w:rtl/>
        </w:rPr>
        <w:t>אלימות</w:t>
      </w:r>
      <w:r w:rsidR="00530257" w:rsidRPr="00955696">
        <w:rPr>
          <w:rFonts w:cs="Arial"/>
          <w:sz w:val="24"/>
          <w:szCs w:val="24"/>
          <w:rtl/>
        </w:rPr>
        <w:t xml:space="preserve"> </w:t>
      </w:r>
      <w:r w:rsidR="00530257">
        <w:rPr>
          <w:rFonts w:cs="Arial" w:hint="cs"/>
          <w:sz w:val="24"/>
          <w:szCs w:val="24"/>
          <w:rtl/>
        </w:rPr>
        <w:t>ו</w:t>
      </w:r>
      <w:r w:rsidR="00530257" w:rsidRPr="00955696">
        <w:rPr>
          <w:rFonts w:cs="Arial" w:hint="cs"/>
          <w:sz w:val="24"/>
          <w:szCs w:val="24"/>
          <w:rtl/>
        </w:rPr>
        <w:t>תפישה</w:t>
      </w:r>
      <w:r w:rsidR="00530257" w:rsidRPr="00955696">
        <w:rPr>
          <w:rFonts w:cs="Arial"/>
          <w:sz w:val="24"/>
          <w:szCs w:val="24"/>
          <w:rtl/>
        </w:rPr>
        <w:t xml:space="preserve"> </w:t>
      </w:r>
      <w:r w:rsidR="00530257" w:rsidRPr="00955696">
        <w:rPr>
          <w:rFonts w:cs="Arial" w:hint="cs"/>
          <w:sz w:val="24"/>
          <w:szCs w:val="24"/>
          <w:rtl/>
        </w:rPr>
        <w:t>של</w:t>
      </w:r>
      <w:r w:rsidR="00530257" w:rsidRPr="00955696">
        <w:rPr>
          <w:rFonts w:cs="Arial"/>
          <w:sz w:val="24"/>
          <w:szCs w:val="24"/>
          <w:rtl/>
        </w:rPr>
        <w:t xml:space="preserve"> </w:t>
      </w:r>
      <w:r w:rsidR="00530257" w:rsidRPr="00955696">
        <w:rPr>
          <w:rFonts w:cs="Arial" w:hint="cs"/>
          <w:sz w:val="24"/>
          <w:szCs w:val="24"/>
          <w:rtl/>
        </w:rPr>
        <w:t>אי</w:t>
      </w:r>
      <w:r w:rsidR="00530257" w:rsidRPr="00955696">
        <w:rPr>
          <w:rFonts w:cs="Arial"/>
          <w:sz w:val="24"/>
          <w:szCs w:val="24"/>
          <w:rtl/>
        </w:rPr>
        <w:t xml:space="preserve"> </w:t>
      </w:r>
      <w:r w:rsidR="00530257" w:rsidRPr="00955696">
        <w:rPr>
          <w:rFonts w:cs="Arial" w:hint="cs"/>
          <w:sz w:val="24"/>
          <w:szCs w:val="24"/>
          <w:rtl/>
        </w:rPr>
        <w:t>יכולת</w:t>
      </w:r>
      <w:r w:rsidR="00530257" w:rsidRPr="00955696">
        <w:rPr>
          <w:rFonts w:cs="Arial"/>
          <w:sz w:val="24"/>
          <w:szCs w:val="24"/>
          <w:rtl/>
        </w:rPr>
        <w:t xml:space="preserve"> </w:t>
      </w:r>
      <w:r w:rsidR="00530257" w:rsidRPr="00955696">
        <w:rPr>
          <w:rFonts w:cs="Arial" w:hint="cs"/>
          <w:sz w:val="24"/>
          <w:szCs w:val="24"/>
          <w:rtl/>
        </w:rPr>
        <w:t>לפ</w:t>
      </w:r>
      <w:r w:rsidR="00530257">
        <w:rPr>
          <w:rFonts w:cs="Arial" w:hint="cs"/>
          <w:sz w:val="24"/>
          <w:szCs w:val="24"/>
          <w:rtl/>
        </w:rPr>
        <w:t>ו</w:t>
      </w:r>
      <w:r w:rsidR="00530257" w:rsidRPr="00955696">
        <w:rPr>
          <w:rFonts w:cs="Arial" w:hint="cs"/>
          <w:sz w:val="24"/>
          <w:szCs w:val="24"/>
          <w:rtl/>
        </w:rPr>
        <w:t>תר</w:t>
      </w:r>
      <w:r w:rsidR="00530257">
        <w:rPr>
          <w:rFonts w:cs="Arial" w:hint="cs"/>
          <w:sz w:val="24"/>
          <w:szCs w:val="24"/>
          <w:rtl/>
        </w:rPr>
        <w:t>ו</w:t>
      </w:r>
      <w:r w:rsidR="00530257" w:rsidRPr="00091CC8">
        <w:rPr>
          <w:rFonts w:cs="Arial"/>
          <w:sz w:val="24"/>
          <w:szCs w:val="24"/>
          <w:rtl/>
        </w:rPr>
        <w:t>.</w:t>
      </w:r>
      <w:r w:rsidR="00785856">
        <w:rPr>
          <w:rFonts w:ascii="Arial" w:eastAsia="Times New Roman" w:hAnsi="Arial" w:cs="Arial" w:hint="cs"/>
          <w:color w:val="222222"/>
          <w:sz w:val="24"/>
          <w:szCs w:val="24"/>
          <w:rtl/>
        </w:rPr>
        <w:t xml:space="preserve"> </w:t>
      </w:r>
      <w:r w:rsidR="00785856" w:rsidRPr="00785856">
        <w:rPr>
          <w:rFonts w:cs="Arial" w:hint="cs"/>
          <w:sz w:val="24"/>
          <w:szCs w:val="24"/>
          <w:rtl/>
        </w:rPr>
        <w:t>בר-טל (</w:t>
      </w:r>
      <w:r w:rsidR="00785856" w:rsidRPr="00785856">
        <w:rPr>
          <w:rFonts w:cs="Arial"/>
          <w:b/>
          <w:bCs/>
          <w:sz w:val="24"/>
          <w:szCs w:val="24"/>
        </w:rPr>
        <w:t xml:space="preserve">Bar-Tal. </w:t>
      </w:r>
      <w:r w:rsidR="00785856" w:rsidRPr="00785856">
        <w:rPr>
          <w:rFonts w:cs="Arial"/>
          <w:sz w:val="24"/>
          <w:szCs w:val="24"/>
        </w:rPr>
        <w:t>1998</w:t>
      </w:r>
      <w:r w:rsidR="00785856" w:rsidRPr="00785856">
        <w:rPr>
          <w:rFonts w:cs="Arial"/>
          <w:sz w:val="24"/>
          <w:szCs w:val="24"/>
          <w:rtl/>
        </w:rPr>
        <w:t>)</w:t>
      </w:r>
      <w:r w:rsidR="00785856">
        <w:rPr>
          <w:rFonts w:cs="Arial" w:hint="cs"/>
          <w:sz w:val="24"/>
          <w:szCs w:val="24"/>
          <w:rtl/>
        </w:rPr>
        <w:t xml:space="preserve"> מפרט אמונות</w:t>
      </w:r>
      <w:r w:rsidR="00785856" w:rsidRPr="00785856">
        <w:rPr>
          <w:rFonts w:cs="Arial" w:hint="cs"/>
          <w:sz w:val="24"/>
          <w:szCs w:val="24"/>
          <w:rtl/>
        </w:rPr>
        <w:t xml:space="preserve"> חברתיות שונות, ביניהן, צדקת</w:t>
      </w:r>
      <w:r w:rsidR="00785856" w:rsidRPr="00785856">
        <w:rPr>
          <w:rFonts w:cs="Arial"/>
          <w:sz w:val="24"/>
          <w:szCs w:val="24"/>
          <w:rtl/>
        </w:rPr>
        <w:t xml:space="preserve"> </w:t>
      </w:r>
      <w:r w:rsidR="00785856" w:rsidRPr="00785856">
        <w:rPr>
          <w:rFonts w:cs="Arial" w:hint="cs"/>
          <w:sz w:val="24"/>
          <w:szCs w:val="24"/>
          <w:rtl/>
        </w:rPr>
        <w:t>מטרות</w:t>
      </w:r>
      <w:r w:rsidR="00785856" w:rsidRPr="00785856">
        <w:rPr>
          <w:rFonts w:cs="Arial"/>
          <w:sz w:val="24"/>
          <w:szCs w:val="24"/>
          <w:rtl/>
        </w:rPr>
        <w:t xml:space="preserve"> </w:t>
      </w:r>
      <w:r w:rsidR="00785856">
        <w:rPr>
          <w:rFonts w:cs="Arial" w:hint="cs"/>
          <w:sz w:val="24"/>
          <w:szCs w:val="24"/>
          <w:rtl/>
        </w:rPr>
        <w:t xml:space="preserve">הצד </w:t>
      </w:r>
      <w:r w:rsidR="00785856" w:rsidRPr="00785856">
        <w:rPr>
          <w:rFonts w:cs="Arial" w:hint="cs"/>
          <w:sz w:val="24"/>
          <w:szCs w:val="24"/>
          <w:rtl/>
        </w:rPr>
        <w:t>שלי</w:t>
      </w:r>
      <w:r w:rsidR="00785856" w:rsidRPr="00785856">
        <w:rPr>
          <w:rFonts w:cs="Arial"/>
          <w:sz w:val="24"/>
          <w:szCs w:val="24"/>
          <w:rtl/>
        </w:rPr>
        <w:t xml:space="preserve">, </w:t>
      </w:r>
      <w:r w:rsidR="00785856" w:rsidRPr="00785856">
        <w:rPr>
          <w:rFonts w:cs="Arial" w:hint="cs"/>
          <w:sz w:val="24"/>
          <w:szCs w:val="24"/>
          <w:rtl/>
        </w:rPr>
        <w:t xml:space="preserve">עליונות </w:t>
      </w:r>
      <w:r w:rsidR="00785856">
        <w:rPr>
          <w:rFonts w:cs="Arial" w:hint="cs"/>
          <w:sz w:val="24"/>
          <w:szCs w:val="24"/>
          <w:rtl/>
        </w:rPr>
        <w:t>ה</w:t>
      </w:r>
      <w:r w:rsidR="00785856" w:rsidRPr="00785856">
        <w:rPr>
          <w:rFonts w:cs="Arial" w:hint="cs"/>
          <w:sz w:val="24"/>
          <w:szCs w:val="24"/>
          <w:rtl/>
        </w:rPr>
        <w:t>ביטחון,</w:t>
      </w:r>
      <w:r w:rsidR="00785856" w:rsidRPr="00785856">
        <w:rPr>
          <w:rFonts w:cs="Arial"/>
          <w:sz w:val="24"/>
          <w:szCs w:val="24"/>
          <w:rtl/>
        </w:rPr>
        <w:t xml:space="preserve"> </w:t>
      </w:r>
      <w:r w:rsidR="00785856" w:rsidRPr="00785856">
        <w:rPr>
          <w:rFonts w:cs="Arial" w:hint="cs"/>
          <w:sz w:val="24"/>
          <w:szCs w:val="24"/>
          <w:rtl/>
        </w:rPr>
        <w:t>דה</w:t>
      </w:r>
      <w:r w:rsidR="00785856" w:rsidRPr="00785856">
        <w:rPr>
          <w:rFonts w:cs="Arial"/>
          <w:sz w:val="24"/>
          <w:szCs w:val="24"/>
          <w:rtl/>
        </w:rPr>
        <w:t>-</w:t>
      </w:r>
      <w:r w:rsidR="00785856" w:rsidRPr="00785856">
        <w:rPr>
          <w:rFonts w:cs="Arial" w:hint="cs"/>
          <w:sz w:val="24"/>
          <w:szCs w:val="24"/>
          <w:rtl/>
        </w:rPr>
        <w:t>לגיטימציה</w:t>
      </w:r>
      <w:r w:rsidR="00785856" w:rsidRPr="00785856">
        <w:rPr>
          <w:rFonts w:cs="Arial"/>
          <w:sz w:val="24"/>
          <w:szCs w:val="24"/>
          <w:rtl/>
        </w:rPr>
        <w:t xml:space="preserve"> </w:t>
      </w:r>
      <w:r w:rsidR="00785856" w:rsidRPr="00785856">
        <w:rPr>
          <w:rFonts w:cs="Arial" w:hint="cs"/>
          <w:sz w:val="24"/>
          <w:szCs w:val="24"/>
          <w:rtl/>
        </w:rPr>
        <w:t>של</w:t>
      </w:r>
      <w:r w:rsidR="00785856" w:rsidRPr="00785856">
        <w:rPr>
          <w:rFonts w:cs="Arial"/>
          <w:sz w:val="24"/>
          <w:szCs w:val="24"/>
          <w:rtl/>
        </w:rPr>
        <w:t xml:space="preserve"> </w:t>
      </w:r>
      <w:r w:rsidR="00785856" w:rsidRPr="00785856">
        <w:rPr>
          <w:rFonts w:cs="Arial" w:hint="cs"/>
          <w:sz w:val="24"/>
          <w:szCs w:val="24"/>
          <w:rtl/>
        </w:rPr>
        <w:t>האחר, דימוי</w:t>
      </w:r>
      <w:r w:rsidR="00785856" w:rsidRPr="00785856">
        <w:rPr>
          <w:rFonts w:cs="Arial"/>
          <w:sz w:val="24"/>
          <w:szCs w:val="24"/>
          <w:rtl/>
        </w:rPr>
        <w:t xml:space="preserve"> </w:t>
      </w:r>
      <w:r w:rsidR="00785856" w:rsidRPr="00785856">
        <w:rPr>
          <w:rFonts w:cs="Arial" w:hint="cs"/>
          <w:sz w:val="24"/>
          <w:szCs w:val="24"/>
          <w:rtl/>
        </w:rPr>
        <w:t>עצמי</w:t>
      </w:r>
      <w:r w:rsidR="00785856" w:rsidRPr="00785856">
        <w:rPr>
          <w:rFonts w:cs="Arial"/>
          <w:sz w:val="24"/>
          <w:szCs w:val="24"/>
          <w:rtl/>
        </w:rPr>
        <w:t xml:space="preserve"> </w:t>
      </w:r>
      <w:r w:rsidR="00785856" w:rsidRPr="00785856">
        <w:rPr>
          <w:rFonts w:cs="Arial" w:hint="cs"/>
          <w:sz w:val="24"/>
          <w:szCs w:val="24"/>
          <w:rtl/>
        </w:rPr>
        <w:t>חיובי המדגיש קורבנות, פטריוטיות, אחדות</w:t>
      </w:r>
      <w:r w:rsidR="00785856" w:rsidRPr="00785856">
        <w:rPr>
          <w:rFonts w:cs="Arial"/>
          <w:sz w:val="24"/>
          <w:szCs w:val="24"/>
          <w:rtl/>
        </w:rPr>
        <w:t xml:space="preserve"> </w:t>
      </w:r>
      <w:r w:rsidR="00785856" w:rsidRPr="00785856">
        <w:rPr>
          <w:rFonts w:cs="Arial" w:hint="cs"/>
          <w:sz w:val="24"/>
          <w:szCs w:val="24"/>
          <w:rtl/>
        </w:rPr>
        <w:t>ושלום, ואמונות נוספות.</w:t>
      </w:r>
    </w:p>
    <w:p w:rsidR="00A76182" w:rsidRDefault="00A76182" w:rsidP="00A76182">
      <w:pPr>
        <w:spacing w:after="0" w:line="360" w:lineRule="auto"/>
        <w:rPr>
          <w:rFonts w:ascii="Arial" w:eastAsia="Times New Roman" w:hAnsi="Arial" w:cs="Arial"/>
          <w:color w:val="222222"/>
          <w:sz w:val="24"/>
          <w:szCs w:val="24"/>
          <w:rtl/>
        </w:rPr>
      </w:pPr>
    </w:p>
    <w:p w:rsidR="00785856" w:rsidRDefault="00785856" w:rsidP="00A76182">
      <w:pPr>
        <w:spacing w:after="0" w:line="36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ספרות נרחבת מתייחסת גם לאמונות ותפישות המאפיינות </w:t>
      </w:r>
      <w:r w:rsidR="00021CF4">
        <w:rPr>
          <w:rFonts w:ascii="Arial" w:eastAsia="Times New Roman" w:hAnsi="Arial" w:cs="Arial" w:hint="cs"/>
          <w:color w:val="222222"/>
          <w:sz w:val="24"/>
          <w:szCs w:val="24"/>
          <w:rtl/>
        </w:rPr>
        <w:t xml:space="preserve">באופן ספציפי </w:t>
      </w:r>
      <w:r>
        <w:rPr>
          <w:rFonts w:ascii="Arial" w:eastAsia="Times New Roman" w:hAnsi="Arial" w:cs="Arial" w:hint="cs"/>
          <w:color w:val="222222"/>
          <w:sz w:val="24"/>
          <w:szCs w:val="24"/>
          <w:rtl/>
        </w:rPr>
        <w:t>את הסכסוך הישראלי-פלסטיני.</w:t>
      </w:r>
      <w:r w:rsidR="00BB1CBF">
        <w:rPr>
          <w:rFonts w:ascii="Arial" w:eastAsia="Times New Roman" w:hAnsi="Arial" w:cs="Arial" w:hint="cs"/>
          <w:color w:val="222222"/>
          <w:sz w:val="24"/>
          <w:szCs w:val="24"/>
          <w:rtl/>
        </w:rPr>
        <w:t xml:space="preserve"> (רשימה חלקית כוללת את </w:t>
      </w:r>
      <w:r w:rsidR="000C04EA" w:rsidRPr="00785856">
        <w:rPr>
          <w:rFonts w:cs="Arial"/>
          <w:b/>
          <w:bCs/>
          <w:sz w:val="24"/>
          <w:szCs w:val="24"/>
        </w:rPr>
        <w:t xml:space="preserve">Bar-Tal. </w:t>
      </w:r>
      <w:r w:rsidR="000C04EA" w:rsidRPr="00785856">
        <w:rPr>
          <w:rFonts w:cs="Arial"/>
          <w:sz w:val="24"/>
          <w:szCs w:val="24"/>
        </w:rPr>
        <w:t>1998</w:t>
      </w:r>
      <w:r w:rsidR="000C04EA">
        <w:rPr>
          <w:rFonts w:cs="Arial"/>
          <w:b/>
          <w:bCs/>
          <w:sz w:val="24"/>
          <w:szCs w:val="24"/>
        </w:rPr>
        <w:t xml:space="preserve">, </w:t>
      </w:r>
      <w:r w:rsidRPr="00BB79D7">
        <w:rPr>
          <w:rFonts w:cs="Arial"/>
          <w:b/>
          <w:bCs/>
          <w:sz w:val="24"/>
          <w:szCs w:val="24"/>
        </w:rPr>
        <w:t xml:space="preserve">Rouhana </w:t>
      </w:r>
      <w:r>
        <w:rPr>
          <w:rFonts w:cs="Arial"/>
          <w:b/>
          <w:bCs/>
          <w:sz w:val="24"/>
          <w:szCs w:val="24"/>
        </w:rPr>
        <w:t>&amp;</w:t>
      </w:r>
      <w:r w:rsidRPr="00BB79D7">
        <w:rPr>
          <w:rFonts w:cs="Arial"/>
          <w:b/>
          <w:bCs/>
          <w:sz w:val="24"/>
          <w:szCs w:val="24"/>
        </w:rPr>
        <w:t xml:space="preserve"> Bar-Tal</w:t>
      </w:r>
      <w:r>
        <w:rPr>
          <w:rFonts w:cs="Arial"/>
          <w:sz w:val="24"/>
          <w:szCs w:val="24"/>
        </w:rPr>
        <w:t xml:space="preserve">. 1998, </w:t>
      </w:r>
      <w:r w:rsidRPr="00CE0083">
        <w:rPr>
          <w:rFonts w:cs="Arial"/>
          <w:b/>
          <w:bCs/>
          <w:sz w:val="24"/>
          <w:szCs w:val="24"/>
        </w:rPr>
        <w:t xml:space="preserve">Sagi, Adwan, </w:t>
      </w:r>
      <w:r>
        <w:rPr>
          <w:rFonts w:cs="Arial"/>
          <w:b/>
          <w:bCs/>
          <w:sz w:val="24"/>
          <w:szCs w:val="24"/>
        </w:rPr>
        <w:t>&amp;</w:t>
      </w:r>
      <w:r w:rsidRPr="00CE0083">
        <w:rPr>
          <w:rFonts w:cs="Arial"/>
          <w:b/>
          <w:bCs/>
          <w:sz w:val="24"/>
          <w:szCs w:val="24"/>
        </w:rPr>
        <w:t xml:space="preserve"> Kaplan</w:t>
      </w:r>
      <w:r>
        <w:rPr>
          <w:rFonts w:cs="Arial"/>
          <w:sz w:val="24"/>
          <w:szCs w:val="24"/>
        </w:rPr>
        <w:t>.</w:t>
      </w:r>
      <w:r w:rsidRPr="00A36379">
        <w:rPr>
          <w:rFonts w:cs="Arial"/>
          <w:sz w:val="24"/>
          <w:szCs w:val="24"/>
        </w:rPr>
        <w:t xml:space="preserve"> 2002</w:t>
      </w:r>
      <w:r>
        <w:rPr>
          <w:rFonts w:ascii="Arial" w:eastAsia="Times New Roman" w:hAnsi="Arial" w:cs="Arial"/>
          <w:b/>
          <w:bCs/>
          <w:color w:val="000000"/>
        </w:rPr>
        <w:t>, Ron &amp; Maoz</w:t>
      </w:r>
      <w:r>
        <w:rPr>
          <w:rFonts w:ascii="Arial" w:eastAsia="Times New Roman" w:hAnsi="Arial" w:cs="Arial"/>
          <w:color w:val="000000"/>
        </w:rPr>
        <w:t>.</w:t>
      </w:r>
      <w:r w:rsidRPr="00BB79D7">
        <w:rPr>
          <w:rFonts w:ascii="Arial" w:eastAsia="Times New Roman" w:hAnsi="Arial" w:cs="Arial"/>
          <w:color w:val="000000"/>
        </w:rPr>
        <w:t xml:space="preserve"> 20</w:t>
      </w:r>
      <w:r>
        <w:rPr>
          <w:rFonts w:ascii="Arial" w:eastAsia="Times New Roman" w:hAnsi="Arial" w:cs="Arial"/>
          <w:color w:val="000000"/>
        </w:rPr>
        <w:t xml:space="preserve">13a. </w:t>
      </w:r>
      <w:r>
        <w:rPr>
          <w:rFonts w:ascii="Arial" w:eastAsia="Times New Roman" w:hAnsi="Arial" w:cs="Arial"/>
          <w:b/>
          <w:bCs/>
          <w:color w:val="000000"/>
        </w:rPr>
        <w:t>Ron &amp; Maoz</w:t>
      </w:r>
      <w:r>
        <w:rPr>
          <w:rFonts w:ascii="Arial" w:eastAsia="Times New Roman" w:hAnsi="Arial" w:cs="Arial"/>
          <w:color w:val="000000"/>
        </w:rPr>
        <w:t>.</w:t>
      </w:r>
      <w:r w:rsidRPr="00BB79D7">
        <w:rPr>
          <w:rFonts w:ascii="Arial" w:eastAsia="Times New Roman" w:hAnsi="Arial" w:cs="Arial"/>
          <w:color w:val="000000"/>
        </w:rPr>
        <w:t xml:space="preserve"> 20</w:t>
      </w:r>
      <w:r>
        <w:rPr>
          <w:rFonts w:ascii="Arial" w:eastAsia="Times New Roman" w:hAnsi="Arial" w:cs="Arial"/>
          <w:color w:val="000000"/>
        </w:rPr>
        <w:t xml:space="preserve">13b, </w:t>
      </w:r>
      <w:r w:rsidRPr="001F1A25">
        <w:rPr>
          <w:rFonts w:cs="Arial"/>
          <w:b/>
          <w:bCs/>
          <w:sz w:val="24"/>
          <w:szCs w:val="24"/>
        </w:rPr>
        <w:t xml:space="preserve">Nathan, Trimble, </w:t>
      </w:r>
      <w:r>
        <w:rPr>
          <w:rFonts w:cs="Arial"/>
          <w:b/>
          <w:bCs/>
          <w:sz w:val="24"/>
          <w:szCs w:val="24"/>
        </w:rPr>
        <w:t>&amp;</w:t>
      </w:r>
      <w:r w:rsidRPr="00BB79D7">
        <w:rPr>
          <w:rFonts w:cs="Arial"/>
          <w:sz w:val="24"/>
          <w:szCs w:val="24"/>
        </w:rPr>
        <w:t xml:space="preserve"> </w:t>
      </w:r>
      <w:r w:rsidRPr="001F1A25">
        <w:rPr>
          <w:rFonts w:cs="Arial"/>
          <w:b/>
          <w:bCs/>
          <w:sz w:val="24"/>
          <w:szCs w:val="24"/>
        </w:rPr>
        <w:t>Fuxman</w:t>
      </w:r>
      <w:r>
        <w:rPr>
          <w:rFonts w:cs="Arial"/>
          <w:sz w:val="24"/>
          <w:szCs w:val="24"/>
        </w:rPr>
        <w:t>.</w:t>
      </w:r>
      <w:r w:rsidRPr="00BB79D7">
        <w:rPr>
          <w:rFonts w:cs="Arial"/>
          <w:sz w:val="24"/>
          <w:szCs w:val="24"/>
        </w:rPr>
        <w:t xml:space="preserve"> 2015</w:t>
      </w:r>
      <w:r>
        <w:rPr>
          <w:rFonts w:cs="Arial"/>
          <w:sz w:val="24"/>
          <w:szCs w:val="24"/>
        </w:rPr>
        <w:t xml:space="preserve">, </w:t>
      </w:r>
      <w:r>
        <w:rPr>
          <w:rFonts w:cs="Arial" w:hint="cs"/>
          <w:sz w:val="24"/>
          <w:szCs w:val="24"/>
          <w:rtl/>
        </w:rPr>
        <w:t xml:space="preserve">, </w:t>
      </w:r>
      <w:r w:rsidRPr="00530257">
        <w:rPr>
          <w:rFonts w:cs="Arial" w:hint="cs"/>
          <w:b/>
          <w:bCs/>
          <w:sz w:val="24"/>
          <w:szCs w:val="24"/>
          <w:rtl/>
        </w:rPr>
        <w:t>אלחדף ובר-און</w:t>
      </w:r>
      <w:r>
        <w:rPr>
          <w:rFonts w:cs="Arial" w:hint="cs"/>
          <w:sz w:val="24"/>
          <w:szCs w:val="24"/>
          <w:rtl/>
        </w:rPr>
        <w:t xml:space="preserve">. 2010, </w:t>
      </w:r>
      <w:r w:rsidRPr="00530257">
        <w:rPr>
          <w:rFonts w:ascii="Arial" w:eastAsia="Times New Roman" w:hAnsi="Arial" w:cs="Arial" w:hint="cs"/>
          <w:b/>
          <w:bCs/>
          <w:color w:val="222222"/>
          <w:sz w:val="24"/>
          <w:szCs w:val="24"/>
          <w:rtl/>
        </w:rPr>
        <w:t>הלפרין, אורן ובר-טל</w:t>
      </w:r>
      <w:r>
        <w:rPr>
          <w:rFonts w:ascii="Arial" w:eastAsia="Times New Roman" w:hAnsi="Arial" w:cs="Arial" w:hint="cs"/>
          <w:color w:val="222222"/>
          <w:sz w:val="24"/>
          <w:szCs w:val="24"/>
          <w:rtl/>
        </w:rPr>
        <w:t>. 2010).</w:t>
      </w:r>
      <w:r w:rsidR="000C04EA">
        <w:rPr>
          <w:rFonts w:ascii="Arial" w:eastAsia="Times New Roman" w:hAnsi="Arial" w:cs="Arial" w:hint="cs"/>
          <w:color w:val="222222"/>
          <w:sz w:val="24"/>
          <w:szCs w:val="24"/>
          <w:rtl/>
        </w:rPr>
        <w:t xml:space="preserve"> במחקריהם, בר-טל (</w:t>
      </w:r>
      <w:r w:rsidR="000C04EA" w:rsidRPr="00785856">
        <w:rPr>
          <w:rFonts w:cs="Arial"/>
          <w:b/>
          <w:bCs/>
          <w:sz w:val="24"/>
          <w:szCs w:val="24"/>
        </w:rPr>
        <w:t xml:space="preserve">Bar-Tal. </w:t>
      </w:r>
      <w:r w:rsidR="000C04EA" w:rsidRPr="00785856">
        <w:rPr>
          <w:rFonts w:cs="Arial"/>
          <w:sz w:val="24"/>
          <w:szCs w:val="24"/>
        </w:rPr>
        <w:t>1998</w:t>
      </w:r>
      <w:r w:rsidR="000C04EA">
        <w:rPr>
          <w:rFonts w:ascii="Arial" w:eastAsia="Times New Roman" w:hAnsi="Arial" w:cs="Arial" w:hint="cs"/>
          <w:color w:val="222222"/>
          <w:sz w:val="24"/>
          <w:szCs w:val="24"/>
          <w:rtl/>
        </w:rPr>
        <w:t>) ורוחאנא ובר-טל (</w:t>
      </w:r>
      <w:r w:rsidR="000C04EA" w:rsidRPr="00BB79D7">
        <w:rPr>
          <w:rFonts w:cs="Arial"/>
          <w:b/>
          <w:bCs/>
          <w:sz w:val="24"/>
          <w:szCs w:val="24"/>
        </w:rPr>
        <w:t xml:space="preserve">Rouhana </w:t>
      </w:r>
      <w:r w:rsidR="000C04EA">
        <w:rPr>
          <w:rFonts w:cs="Arial"/>
          <w:b/>
          <w:bCs/>
          <w:sz w:val="24"/>
          <w:szCs w:val="24"/>
        </w:rPr>
        <w:t>&amp;</w:t>
      </w:r>
      <w:r w:rsidR="000C04EA" w:rsidRPr="00BB79D7">
        <w:rPr>
          <w:rFonts w:cs="Arial"/>
          <w:b/>
          <w:bCs/>
          <w:sz w:val="24"/>
          <w:szCs w:val="24"/>
        </w:rPr>
        <w:t xml:space="preserve"> Bar-Tal</w:t>
      </w:r>
      <w:r w:rsidR="000C04EA">
        <w:rPr>
          <w:rFonts w:cs="Arial"/>
          <w:sz w:val="24"/>
          <w:szCs w:val="24"/>
        </w:rPr>
        <w:t>. 1998</w:t>
      </w:r>
      <w:r w:rsidR="000C04EA">
        <w:rPr>
          <w:rFonts w:ascii="Arial" w:eastAsia="Times New Roman" w:hAnsi="Arial" w:cs="Arial" w:hint="cs"/>
          <w:color w:val="222222"/>
          <w:sz w:val="24"/>
          <w:szCs w:val="24"/>
          <w:rtl/>
        </w:rPr>
        <w:t>)</w:t>
      </w:r>
      <w:r w:rsidR="00633BA9">
        <w:rPr>
          <w:rFonts w:ascii="Arial" w:eastAsia="Times New Roman" w:hAnsi="Arial" w:cs="Arial" w:hint="cs"/>
          <w:color w:val="222222"/>
          <w:sz w:val="24"/>
          <w:szCs w:val="24"/>
          <w:rtl/>
        </w:rPr>
        <w:t xml:space="preserve"> מפרטים את הביטויים של אמונות המאפיינות סכסוכים מתמשכים ועיקשים בסכסוך הישראלי-פלסטיני. </w:t>
      </w:r>
      <w:r w:rsidR="001A4409">
        <w:rPr>
          <w:rFonts w:ascii="Arial" w:eastAsia="Times New Roman" w:hAnsi="Arial" w:cs="Arial" w:hint="cs"/>
          <w:color w:val="222222"/>
          <w:sz w:val="24"/>
          <w:szCs w:val="24"/>
          <w:rtl/>
        </w:rPr>
        <w:t xml:space="preserve">הלפרין, אורן ובר-טל (2010) מוסיפים את השפעתו של המימד הרגשי בסכסוך </w:t>
      </w:r>
      <w:r w:rsidR="001A4409">
        <w:rPr>
          <w:rFonts w:ascii="Arial" w:eastAsia="Times New Roman" w:hAnsi="Arial" w:cs="Arial" w:hint="cs"/>
          <w:color w:val="222222"/>
          <w:sz w:val="24"/>
          <w:szCs w:val="24"/>
          <w:rtl/>
        </w:rPr>
        <w:lastRenderedPageBreak/>
        <w:t>ומתייחסים לפחד ושנאה כחסמים בפני ישוב הסכסוך.</w:t>
      </w:r>
      <w:r w:rsidR="00BB1CBF">
        <w:rPr>
          <w:rFonts w:ascii="Arial" w:eastAsia="Times New Roman" w:hAnsi="Arial" w:cs="Arial" w:hint="cs"/>
          <w:color w:val="222222"/>
          <w:sz w:val="24"/>
          <w:szCs w:val="24"/>
          <w:rtl/>
        </w:rPr>
        <w:t xml:space="preserve"> אלחדף ובר-און (2010) בוחנים את האמונות הללו כפי שמשתקפות ביחס לאירועים מרכזיים בנרטיב של כל צד. רון ומעוז בודקים את עד כמה מעורבות במפגשי דו-שיח בין ישראלים לפלסטינים יכולה למתן הדרה מוסרית ולפתח דאגה מוסרית (</w:t>
      </w:r>
      <w:r w:rsidR="00BB1CBF">
        <w:rPr>
          <w:rFonts w:ascii="Arial" w:eastAsia="Times New Roman" w:hAnsi="Arial" w:cs="Arial"/>
          <w:b/>
          <w:bCs/>
          <w:color w:val="000000"/>
        </w:rPr>
        <w:t>Ron &amp; Maoz</w:t>
      </w:r>
      <w:r w:rsidR="00BB1CBF">
        <w:rPr>
          <w:rFonts w:ascii="Arial" w:eastAsia="Times New Roman" w:hAnsi="Arial" w:cs="Arial"/>
          <w:color w:val="000000"/>
        </w:rPr>
        <w:t>.</w:t>
      </w:r>
      <w:r w:rsidR="00BB1CBF" w:rsidRPr="00BB79D7">
        <w:rPr>
          <w:rFonts w:ascii="Arial" w:eastAsia="Times New Roman" w:hAnsi="Arial" w:cs="Arial"/>
          <w:color w:val="000000"/>
        </w:rPr>
        <w:t xml:space="preserve"> 20</w:t>
      </w:r>
      <w:r w:rsidR="00BB1CBF">
        <w:rPr>
          <w:rFonts w:ascii="Arial" w:eastAsia="Times New Roman" w:hAnsi="Arial" w:cs="Arial"/>
          <w:color w:val="000000"/>
        </w:rPr>
        <w:t>13a</w:t>
      </w:r>
      <w:r w:rsidR="00BB1CBF">
        <w:rPr>
          <w:rFonts w:ascii="Arial" w:eastAsia="Times New Roman" w:hAnsi="Arial" w:cs="Arial" w:hint="cs"/>
          <w:color w:val="222222"/>
          <w:sz w:val="24"/>
          <w:szCs w:val="24"/>
          <w:rtl/>
        </w:rPr>
        <w:t xml:space="preserve">) ועד כמה </w:t>
      </w:r>
      <w:r w:rsidR="00BB1CBF" w:rsidRPr="00BB1CBF">
        <w:rPr>
          <w:rFonts w:ascii="Arial" w:eastAsia="Times New Roman" w:hAnsi="Arial" w:cs="Arial" w:hint="cs"/>
          <w:color w:val="222222"/>
          <w:sz w:val="24"/>
          <w:szCs w:val="24"/>
          <w:rtl/>
        </w:rPr>
        <w:t>עד</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כמה</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השתתפות</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ממושכת</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בסדנאות</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דיאלוג</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בין</w:t>
      </w:r>
      <w:r w:rsidR="00021CF4">
        <w:rPr>
          <w:rFonts w:ascii="Arial" w:eastAsia="Times New Roman" w:hAnsi="Arial" w:cs="Arial" w:hint="cs"/>
          <w:color w:val="222222"/>
          <w:sz w:val="24"/>
          <w:szCs w:val="24"/>
          <w:rtl/>
        </w:rPr>
        <w:t>-</w:t>
      </w:r>
      <w:r w:rsidR="00BB1CBF" w:rsidRPr="00BB1CBF">
        <w:rPr>
          <w:rFonts w:ascii="Arial" w:eastAsia="Times New Roman" w:hAnsi="Arial" w:cs="Arial" w:hint="cs"/>
          <w:color w:val="222222"/>
          <w:sz w:val="24"/>
          <w:szCs w:val="24"/>
          <w:rtl/>
        </w:rPr>
        <w:t>קבוצתי</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ישראלי</w:t>
      </w:r>
      <w:r w:rsidR="00BB1CBF" w:rsidRPr="00BB1CBF">
        <w:rPr>
          <w:rFonts w:ascii="Arial" w:eastAsia="Times New Roman" w:hAnsi="Arial" w:cs="Arial"/>
          <w:color w:val="222222"/>
          <w:sz w:val="24"/>
          <w:szCs w:val="24"/>
          <w:rtl/>
        </w:rPr>
        <w:t>-</w:t>
      </w:r>
      <w:r w:rsidR="00BB1CBF" w:rsidRPr="00BB1CBF">
        <w:rPr>
          <w:rFonts w:ascii="Arial" w:eastAsia="Times New Roman" w:hAnsi="Arial" w:cs="Arial" w:hint="cs"/>
          <w:color w:val="222222"/>
          <w:sz w:val="24"/>
          <w:szCs w:val="24"/>
          <w:rtl/>
        </w:rPr>
        <w:t>פלסטיני</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תרמה</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לשינוי</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תפישת</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העולם</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של</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המשתתפים</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הישראלים</w:t>
      </w:r>
      <w:r w:rsidR="00BB1CBF" w:rsidRPr="00BB1CBF">
        <w:rPr>
          <w:rFonts w:ascii="Arial" w:eastAsia="Times New Roman" w:hAnsi="Arial" w:cs="Arial"/>
          <w:color w:val="222222"/>
          <w:sz w:val="24"/>
          <w:szCs w:val="24"/>
          <w:rtl/>
        </w:rPr>
        <w:t>-</w:t>
      </w:r>
      <w:r w:rsidR="00BB1CBF" w:rsidRPr="00BB1CBF">
        <w:rPr>
          <w:rFonts w:ascii="Arial" w:eastAsia="Times New Roman" w:hAnsi="Arial" w:cs="Arial" w:hint="cs"/>
          <w:color w:val="222222"/>
          <w:sz w:val="24"/>
          <w:szCs w:val="24"/>
          <w:rtl/>
        </w:rPr>
        <w:t>יהודים</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ביחס</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לסכסוך</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הישראלי</w:t>
      </w:r>
      <w:r w:rsidR="00BB1CBF" w:rsidRPr="00BB1CBF">
        <w:rPr>
          <w:rFonts w:ascii="Arial" w:eastAsia="Times New Roman" w:hAnsi="Arial" w:cs="Arial"/>
          <w:color w:val="222222"/>
          <w:sz w:val="24"/>
          <w:szCs w:val="24"/>
          <w:rtl/>
        </w:rPr>
        <w:t>-</w:t>
      </w:r>
      <w:r w:rsidR="00BB1CBF" w:rsidRPr="00BB1CBF">
        <w:rPr>
          <w:rFonts w:ascii="Arial" w:eastAsia="Times New Roman" w:hAnsi="Arial" w:cs="Arial" w:hint="cs"/>
          <w:color w:val="222222"/>
          <w:sz w:val="24"/>
          <w:szCs w:val="24"/>
          <w:rtl/>
        </w:rPr>
        <w:t>פלסטיני</w:t>
      </w:r>
      <w:r w:rsidR="00BB1CBF" w:rsidRPr="00BB1CBF">
        <w:rPr>
          <w:rFonts w:ascii="Arial" w:eastAsia="Times New Roman" w:hAnsi="Arial" w:cs="Arial"/>
          <w:color w:val="222222"/>
          <w:sz w:val="24"/>
          <w:szCs w:val="24"/>
          <w:rtl/>
        </w:rPr>
        <w:t xml:space="preserve"> </w:t>
      </w:r>
      <w:r w:rsidR="00BB1CBF" w:rsidRPr="00BB1CBF">
        <w:rPr>
          <w:rFonts w:ascii="Arial" w:eastAsia="Times New Roman" w:hAnsi="Arial" w:cs="Arial" w:hint="cs"/>
          <w:color w:val="222222"/>
          <w:sz w:val="24"/>
          <w:szCs w:val="24"/>
          <w:rtl/>
        </w:rPr>
        <w:t>ולפתרונו</w:t>
      </w:r>
      <w:r w:rsidR="00BB1CBF">
        <w:rPr>
          <w:rFonts w:ascii="Arial" w:eastAsia="Times New Roman" w:hAnsi="Arial" w:cs="Arial" w:hint="cs"/>
          <w:color w:val="222222"/>
          <w:sz w:val="24"/>
          <w:szCs w:val="24"/>
          <w:rtl/>
        </w:rPr>
        <w:t xml:space="preserve"> (</w:t>
      </w:r>
      <w:r w:rsidR="00BB1CBF">
        <w:rPr>
          <w:rFonts w:ascii="Arial" w:eastAsia="Times New Roman" w:hAnsi="Arial" w:cs="Arial"/>
          <w:b/>
          <w:bCs/>
          <w:color w:val="000000"/>
        </w:rPr>
        <w:t>Ron &amp; Maoz</w:t>
      </w:r>
      <w:r w:rsidR="00BB1CBF">
        <w:rPr>
          <w:rFonts w:ascii="Arial" w:eastAsia="Times New Roman" w:hAnsi="Arial" w:cs="Arial"/>
          <w:color w:val="000000"/>
        </w:rPr>
        <w:t>.</w:t>
      </w:r>
      <w:r w:rsidR="00BB1CBF" w:rsidRPr="00BB79D7">
        <w:rPr>
          <w:rFonts w:ascii="Arial" w:eastAsia="Times New Roman" w:hAnsi="Arial" w:cs="Arial"/>
          <w:color w:val="000000"/>
        </w:rPr>
        <w:t xml:space="preserve"> 20</w:t>
      </w:r>
      <w:r w:rsidR="00BB1CBF">
        <w:rPr>
          <w:rFonts w:ascii="Arial" w:eastAsia="Times New Roman" w:hAnsi="Arial" w:cs="Arial"/>
          <w:color w:val="000000"/>
        </w:rPr>
        <w:t>13b</w:t>
      </w:r>
      <w:r w:rsidR="00BB1CBF">
        <w:rPr>
          <w:rFonts w:ascii="Arial" w:eastAsia="Times New Roman" w:hAnsi="Arial" w:cs="Arial" w:hint="cs"/>
          <w:color w:val="222222"/>
          <w:sz w:val="24"/>
          <w:szCs w:val="24"/>
          <w:rtl/>
        </w:rPr>
        <w:t>)</w:t>
      </w:r>
      <w:r w:rsidR="00BB1CBF" w:rsidRPr="00BB1CBF">
        <w:rPr>
          <w:rFonts w:ascii="Arial" w:eastAsia="Times New Roman" w:hAnsi="Arial" w:cs="Arial"/>
          <w:color w:val="222222"/>
          <w:sz w:val="24"/>
          <w:szCs w:val="24"/>
          <w:rtl/>
        </w:rPr>
        <w:t>.</w:t>
      </w:r>
      <w:r w:rsidR="00021CF4">
        <w:rPr>
          <w:rFonts w:ascii="Arial" w:eastAsia="Times New Roman" w:hAnsi="Arial" w:cs="Arial" w:hint="cs"/>
          <w:color w:val="222222"/>
          <w:sz w:val="24"/>
          <w:szCs w:val="24"/>
          <w:rtl/>
        </w:rPr>
        <w:t xml:space="preserve"> </w:t>
      </w:r>
      <w:r w:rsidR="00BB1CBF">
        <w:rPr>
          <w:rFonts w:ascii="Arial" w:eastAsia="Times New Roman" w:hAnsi="Arial" w:cs="Arial" w:hint="cs"/>
          <w:color w:val="222222"/>
          <w:sz w:val="24"/>
          <w:szCs w:val="24"/>
          <w:rtl/>
        </w:rPr>
        <w:t>נתן, טרימבל ופוקסמן בודקים עד כמה השתתפות בתוכנית שיתוף-פעולה ישראלי-פלסטיני מביאה לשינוי אמונות ותפישות ביחס לסכסוך. (</w:t>
      </w:r>
      <w:r w:rsidR="00BB1CBF" w:rsidRPr="001F1A25">
        <w:rPr>
          <w:rFonts w:cs="Arial"/>
          <w:b/>
          <w:bCs/>
          <w:sz w:val="24"/>
          <w:szCs w:val="24"/>
        </w:rPr>
        <w:t xml:space="preserve">Nathan, Trimble, </w:t>
      </w:r>
      <w:r w:rsidR="00BB1CBF">
        <w:rPr>
          <w:rFonts w:cs="Arial"/>
          <w:b/>
          <w:bCs/>
          <w:sz w:val="24"/>
          <w:szCs w:val="24"/>
        </w:rPr>
        <w:t>&amp;</w:t>
      </w:r>
      <w:r w:rsidR="00BB1CBF" w:rsidRPr="00BB79D7">
        <w:rPr>
          <w:rFonts w:cs="Arial"/>
          <w:sz w:val="24"/>
          <w:szCs w:val="24"/>
        </w:rPr>
        <w:t xml:space="preserve"> </w:t>
      </w:r>
      <w:r w:rsidR="00BB1CBF" w:rsidRPr="001F1A25">
        <w:rPr>
          <w:rFonts w:cs="Arial"/>
          <w:b/>
          <w:bCs/>
          <w:sz w:val="24"/>
          <w:szCs w:val="24"/>
        </w:rPr>
        <w:t>Fuxman</w:t>
      </w:r>
      <w:r w:rsidR="00BB1CBF">
        <w:rPr>
          <w:rFonts w:cs="Arial"/>
          <w:sz w:val="24"/>
          <w:szCs w:val="24"/>
        </w:rPr>
        <w:t>.</w:t>
      </w:r>
      <w:r w:rsidR="00BB1CBF" w:rsidRPr="00BB79D7">
        <w:rPr>
          <w:rFonts w:cs="Arial"/>
          <w:sz w:val="24"/>
          <w:szCs w:val="24"/>
        </w:rPr>
        <w:t xml:space="preserve"> 2015</w:t>
      </w:r>
      <w:r w:rsidR="00BB1CBF">
        <w:rPr>
          <w:rFonts w:ascii="Arial" w:eastAsia="Times New Roman" w:hAnsi="Arial" w:cs="Arial" w:hint="cs"/>
          <w:color w:val="222222"/>
          <w:sz w:val="24"/>
          <w:szCs w:val="24"/>
          <w:rtl/>
        </w:rPr>
        <w:t>)</w:t>
      </w:r>
    </w:p>
    <w:p w:rsidR="00A76182" w:rsidRDefault="00A76182" w:rsidP="00E500DF">
      <w:pPr>
        <w:shd w:val="clear" w:color="auto" w:fill="FFFFFF"/>
        <w:spacing w:after="0" w:line="360" w:lineRule="auto"/>
        <w:rPr>
          <w:rFonts w:ascii="Arial" w:eastAsia="Times New Roman" w:hAnsi="Arial" w:cs="Arial"/>
          <w:color w:val="222222"/>
          <w:sz w:val="24"/>
          <w:szCs w:val="24"/>
          <w:rtl/>
        </w:rPr>
      </w:pPr>
    </w:p>
    <w:p w:rsidR="00CB5B35" w:rsidRDefault="00CB5B35" w:rsidP="00A76182">
      <w:pPr>
        <w:shd w:val="clear" w:color="auto" w:fill="FFFFFF"/>
        <w:spacing w:after="0" w:line="36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מחקר זה מרים תרומה לחקר סכסוכים בהתמקדו באוכלוסייה אשר באופן מסורתי הינה ניצית כלפי הסכסוך. מטבע הדברים, ישוב סכסוך דורש מעבר תפישתי ושינוי אמונות בקרב מגזרים שונים בחברה. קיימים מחקרים רבים המתייחסים לתהליכי פיוס בקרב קבוצות ניציות, אולם </w:t>
      </w:r>
      <w:r w:rsidRPr="004D31E5">
        <w:rPr>
          <w:rFonts w:ascii="Arial" w:eastAsia="Times New Roman" w:hAnsi="Arial" w:cs="Arial" w:hint="cs"/>
          <w:b/>
          <w:bCs/>
          <w:color w:val="222222"/>
          <w:sz w:val="24"/>
          <w:szCs w:val="24"/>
          <w:rtl/>
        </w:rPr>
        <w:t>אין מחקר רב המתייחס לאמונות ולתפישות ביחס לסכסוך הישראלי-פלסטיני מצד מגזרים בחברה הישראלית אשר מתנגדים לישוב הסכסוך בדרך של פשרה</w:t>
      </w:r>
      <w:r>
        <w:rPr>
          <w:rFonts w:ascii="Arial" w:eastAsia="Times New Roman" w:hAnsi="Arial" w:cs="Arial" w:hint="cs"/>
          <w:color w:val="222222"/>
          <w:sz w:val="24"/>
          <w:szCs w:val="24"/>
          <w:rtl/>
        </w:rPr>
        <w:t>.</w:t>
      </w:r>
      <w:r w:rsidR="00021CF4">
        <w:rPr>
          <w:rFonts w:ascii="Arial" w:eastAsia="Times New Roman" w:hAnsi="Arial" w:cs="Arial" w:hint="cs"/>
          <w:color w:val="222222"/>
          <w:sz w:val="24"/>
          <w:szCs w:val="24"/>
          <w:rtl/>
        </w:rPr>
        <w:t xml:space="preserve"> </w:t>
      </w:r>
      <w:r w:rsidR="00E500DF">
        <w:rPr>
          <w:rFonts w:ascii="Arial" w:eastAsia="Times New Roman" w:hAnsi="Arial" w:cs="Arial" w:hint="cs"/>
          <w:color w:val="222222"/>
          <w:sz w:val="24"/>
          <w:szCs w:val="24"/>
          <w:rtl/>
        </w:rPr>
        <w:t>וייסברוד בודקת את ההיתכנות של מלחמת אזרחים בישראל בשל פשרה ישראלית, וסוקרת אמונות של ציבור המתנחלים ביחס למדינה ולסכסוך. (</w:t>
      </w:r>
      <w:r w:rsidR="00E500DF" w:rsidRPr="00E500DF">
        <w:rPr>
          <w:rFonts w:cs="Arial"/>
          <w:b/>
          <w:bCs/>
          <w:sz w:val="24"/>
          <w:szCs w:val="24"/>
        </w:rPr>
        <w:t xml:space="preserve">Weissbros. </w:t>
      </w:r>
      <w:r w:rsidR="00E500DF" w:rsidRPr="00E500DF">
        <w:rPr>
          <w:rFonts w:cs="Arial"/>
          <w:sz w:val="24"/>
          <w:szCs w:val="24"/>
        </w:rPr>
        <w:t>2009</w:t>
      </w:r>
      <w:r w:rsidR="00E500DF">
        <w:rPr>
          <w:rFonts w:ascii="Arial" w:eastAsia="Times New Roman" w:hAnsi="Arial" w:cs="Arial" w:hint="cs"/>
          <w:color w:val="222222"/>
          <w:sz w:val="24"/>
          <w:szCs w:val="24"/>
          <w:rtl/>
        </w:rPr>
        <w:t>)</w:t>
      </w:r>
      <w:r w:rsidR="008C13D5">
        <w:rPr>
          <w:rFonts w:ascii="Arial" w:eastAsia="Times New Roman" w:hAnsi="Arial" w:cs="Arial" w:hint="cs"/>
          <w:color w:val="222222"/>
          <w:sz w:val="24"/>
          <w:szCs w:val="24"/>
          <w:rtl/>
        </w:rPr>
        <w:t xml:space="preserve"> ביליג (2006) בודקת האם תפישת </w:t>
      </w:r>
      <w:r w:rsidR="00A76182">
        <w:rPr>
          <w:rFonts w:ascii="Arial" w:eastAsia="Times New Roman" w:hAnsi="Arial" w:cs="Arial" w:hint="cs"/>
          <w:color w:val="222222"/>
          <w:sz w:val="24"/>
          <w:szCs w:val="24"/>
          <w:rtl/>
        </w:rPr>
        <w:t>מציאות כמסוכנת מביאה לשינוי בעמדות של מתיישבי גוש קטיף כלפי המשך ההתיישבות. רוזנברג (2009) שם במוקד מחקרו בני נוער בעלי השקפת עולם ניצית, ובודק את תגובתם לראיון טלביזיונ</w:t>
      </w:r>
      <w:r w:rsidR="00A76182">
        <w:rPr>
          <w:rFonts w:ascii="Arial" w:eastAsia="Times New Roman" w:hAnsi="Arial" w:cs="Arial" w:hint="eastAsia"/>
          <w:color w:val="222222"/>
          <w:sz w:val="24"/>
          <w:szCs w:val="24"/>
          <w:rtl/>
        </w:rPr>
        <w:t>י</w:t>
      </w:r>
      <w:r w:rsidR="00A76182">
        <w:rPr>
          <w:rFonts w:ascii="Arial" w:eastAsia="Times New Roman" w:hAnsi="Arial" w:cs="Arial" w:hint="cs"/>
          <w:color w:val="222222"/>
          <w:sz w:val="24"/>
          <w:szCs w:val="24"/>
          <w:rtl/>
        </w:rPr>
        <w:t xml:space="preserve"> עם מחבלת. מחקרים אלה, כמובן, אינם מספקים תמונה נרחבת באשר לתפישות ולאמונות של ציבור ניצי ביחס לסכסוך אתנו-לאומי.</w:t>
      </w:r>
    </w:p>
    <w:p w:rsidR="00A76182" w:rsidRDefault="00A76182" w:rsidP="00CB5B35">
      <w:pPr>
        <w:shd w:val="clear" w:color="auto" w:fill="FFFFFF"/>
        <w:spacing w:after="0" w:line="360" w:lineRule="auto"/>
        <w:rPr>
          <w:rFonts w:ascii="Arial" w:eastAsia="Times New Roman" w:hAnsi="Arial" w:cs="Arial"/>
          <w:color w:val="222222"/>
          <w:sz w:val="24"/>
          <w:szCs w:val="24"/>
          <w:rtl/>
        </w:rPr>
      </w:pPr>
    </w:p>
    <w:p w:rsidR="00F429A3" w:rsidRPr="00E82F6A" w:rsidRDefault="00CB5B35" w:rsidP="00CB5B35">
      <w:pPr>
        <w:shd w:val="clear" w:color="auto" w:fill="FFFFFF"/>
        <w:spacing w:after="0" w:line="36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כאמור, </w:t>
      </w:r>
      <w:r w:rsidR="00E82F6A">
        <w:rPr>
          <w:rFonts w:ascii="Arial" w:eastAsia="Times New Roman" w:hAnsi="Arial" w:cs="Arial" w:hint="cs"/>
          <w:color w:val="222222"/>
          <w:sz w:val="24"/>
          <w:szCs w:val="24"/>
          <w:rtl/>
        </w:rPr>
        <w:t>בספרות הקיימת</w:t>
      </w:r>
      <w:r w:rsidR="007E3654">
        <w:rPr>
          <w:rFonts w:ascii="Arial" w:eastAsia="Times New Roman" w:hAnsi="Arial" w:cs="Arial" w:hint="cs"/>
          <w:color w:val="222222"/>
          <w:sz w:val="24"/>
          <w:szCs w:val="24"/>
          <w:rtl/>
        </w:rPr>
        <w:t xml:space="preserve"> אודות אמונות ותפישות בסכסוך </w:t>
      </w:r>
      <w:r w:rsidR="001417BB">
        <w:rPr>
          <w:rFonts w:ascii="Arial" w:eastAsia="Times New Roman" w:hAnsi="Arial" w:cs="Arial" w:hint="cs"/>
          <w:color w:val="222222"/>
          <w:sz w:val="24"/>
          <w:szCs w:val="24"/>
          <w:rtl/>
        </w:rPr>
        <w:t>הישראלי-פלסטיני</w:t>
      </w:r>
      <w:r w:rsidR="00E82F6A">
        <w:rPr>
          <w:rFonts w:ascii="Arial" w:eastAsia="Times New Roman" w:hAnsi="Arial" w:cs="Arial" w:hint="cs"/>
          <w:color w:val="222222"/>
          <w:sz w:val="24"/>
          <w:szCs w:val="24"/>
          <w:rtl/>
        </w:rPr>
        <w:t>, לרוב נפקד מקומם של נחקרים המתגוררים מעבר לקו הירוק, ובני נוער בכלל זה. רון ומעוז חקרו מנחים ישראלים-יהודים של קבוצות דיאלוג ישראליות-פלסטיניות ומשתתפים ישראלים-יהודים בקבוצות דיאלוג שכאלה (</w:t>
      </w:r>
      <w:r w:rsidR="00E82F6A">
        <w:rPr>
          <w:rFonts w:ascii="Arial" w:eastAsia="Times New Roman" w:hAnsi="Arial" w:cs="Arial"/>
          <w:color w:val="222222"/>
          <w:sz w:val="24"/>
          <w:szCs w:val="24"/>
        </w:rPr>
        <w:t>Ron &amp; Maoz. 2013a,. Ron &amp; Maoz., 2013b</w:t>
      </w:r>
      <w:r w:rsidR="00E82F6A">
        <w:rPr>
          <w:rFonts w:ascii="Arial" w:eastAsia="Times New Roman" w:hAnsi="Arial" w:cs="Arial" w:hint="cs"/>
          <w:color w:val="222222"/>
          <w:sz w:val="24"/>
          <w:szCs w:val="24"/>
          <w:rtl/>
        </w:rPr>
        <w:t xml:space="preserve"> בהתאמה)</w:t>
      </w:r>
      <w:r w:rsidR="005118AD">
        <w:rPr>
          <w:rFonts w:ascii="Arial" w:eastAsia="Times New Roman" w:hAnsi="Arial" w:cs="Arial" w:hint="cs"/>
          <w:color w:val="222222"/>
          <w:sz w:val="24"/>
          <w:szCs w:val="24"/>
          <w:rtl/>
        </w:rPr>
        <w:t>,</w:t>
      </w:r>
      <w:r w:rsidR="00E82F6A">
        <w:rPr>
          <w:rFonts w:ascii="Arial" w:eastAsia="Times New Roman" w:hAnsi="Arial" w:cs="Arial" w:hint="cs"/>
          <w:color w:val="222222"/>
          <w:sz w:val="24"/>
          <w:szCs w:val="24"/>
          <w:rtl/>
        </w:rPr>
        <w:t xml:space="preserve"> רוס חקרה משתתפים בתוכניות של שני ארגונים המקדמים שיתוף פעולה ישראלי פלסטיני (</w:t>
      </w:r>
      <w:r w:rsidR="00E82F6A">
        <w:rPr>
          <w:rFonts w:ascii="Arial" w:eastAsia="Times New Roman" w:hAnsi="Arial" w:cs="Arial"/>
          <w:color w:val="222222"/>
          <w:sz w:val="24"/>
          <w:szCs w:val="24"/>
        </w:rPr>
        <w:t>Ross. 2014</w:t>
      </w:r>
      <w:r w:rsidR="005118AD">
        <w:rPr>
          <w:rFonts w:ascii="Arial" w:eastAsia="Times New Roman" w:hAnsi="Arial" w:cs="Arial" w:hint="cs"/>
          <w:color w:val="222222"/>
          <w:sz w:val="24"/>
          <w:szCs w:val="24"/>
          <w:rtl/>
        </w:rPr>
        <w:t>),</w:t>
      </w:r>
      <w:r w:rsidR="00E82F6A">
        <w:rPr>
          <w:rFonts w:ascii="Arial" w:eastAsia="Times New Roman" w:hAnsi="Arial" w:cs="Arial" w:hint="cs"/>
          <w:color w:val="222222"/>
          <w:sz w:val="24"/>
          <w:szCs w:val="24"/>
          <w:rtl/>
        </w:rPr>
        <w:t xml:space="preserve"> חלבי וזק חקרו משתתפים ישראלים ויהודים במפגשים של בית הספר לשלום בנווה שלום-וואחת אל סלאם (חלבי וזק.</w:t>
      </w:r>
      <w:r w:rsidR="005118AD">
        <w:rPr>
          <w:rFonts w:ascii="Arial" w:eastAsia="Times New Roman" w:hAnsi="Arial" w:cs="Arial" w:hint="cs"/>
          <w:color w:val="222222"/>
          <w:sz w:val="24"/>
          <w:szCs w:val="24"/>
          <w:rtl/>
        </w:rPr>
        <w:t xml:space="preserve"> 2006),</w:t>
      </w:r>
      <w:r w:rsidR="00021050">
        <w:rPr>
          <w:rFonts w:ascii="Arial" w:eastAsia="Times New Roman" w:hAnsi="Arial" w:cs="Arial" w:hint="cs"/>
          <w:color w:val="222222"/>
          <w:sz w:val="24"/>
          <w:szCs w:val="24"/>
          <w:rtl/>
        </w:rPr>
        <w:t xml:space="preserve"> שאשא-ביטון</w:t>
      </w:r>
      <w:r w:rsidR="005118AD">
        <w:rPr>
          <w:rFonts w:ascii="Arial" w:eastAsia="Times New Roman" w:hAnsi="Arial" w:cs="Arial" w:hint="cs"/>
          <w:color w:val="222222"/>
          <w:sz w:val="24"/>
          <w:szCs w:val="24"/>
          <w:rtl/>
        </w:rPr>
        <w:t xml:space="preserve"> חקרה מתבגרים ישראלים ופלסטינים</w:t>
      </w:r>
      <w:r w:rsidR="00021050">
        <w:rPr>
          <w:rFonts w:ascii="Arial" w:eastAsia="Times New Roman" w:hAnsi="Arial" w:cs="Arial" w:hint="cs"/>
          <w:color w:val="222222"/>
          <w:sz w:val="24"/>
          <w:szCs w:val="24"/>
          <w:rtl/>
        </w:rPr>
        <w:t xml:space="preserve"> (שאשא-ביטון. 2010)</w:t>
      </w:r>
      <w:r w:rsidR="005118AD">
        <w:rPr>
          <w:rFonts w:ascii="Arial" w:eastAsia="Times New Roman" w:hAnsi="Arial" w:cs="Arial" w:hint="cs"/>
          <w:color w:val="222222"/>
          <w:sz w:val="24"/>
          <w:szCs w:val="24"/>
          <w:rtl/>
        </w:rPr>
        <w:t>,</w:t>
      </w:r>
      <w:r w:rsidR="00021050">
        <w:rPr>
          <w:rFonts w:ascii="Arial" w:eastAsia="Times New Roman" w:hAnsi="Arial" w:cs="Arial" w:hint="cs"/>
          <w:color w:val="222222"/>
          <w:sz w:val="24"/>
          <w:szCs w:val="24"/>
          <w:rtl/>
        </w:rPr>
        <w:t xml:space="preserve"> שגיא ועדוואן ושגיא, עדוואן וקפלן חקרו בני נוער ישראלים ופלסטינים (</w:t>
      </w:r>
      <w:r w:rsidR="00021050">
        <w:rPr>
          <w:rFonts w:ascii="Arial" w:eastAsia="Times New Roman" w:hAnsi="Arial" w:cs="Arial"/>
          <w:color w:val="222222"/>
          <w:sz w:val="24"/>
          <w:szCs w:val="24"/>
        </w:rPr>
        <w:t>Sagi &amp; Adwan. 2006, Sagi, Adwan &amp; Kaplan. 2002</w:t>
      </w:r>
      <w:r w:rsidR="00021050">
        <w:rPr>
          <w:rFonts w:ascii="Arial" w:eastAsia="Times New Roman" w:hAnsi="Arial" w:cs="Arial" w:hint="cs"/>
          <w:color w:val="222222"/>
          <w:sz w:val="24"/>
          <w:szCs w:val="24"/>
          <w:rtl/>
        </w:rPr>
        <w:t>)</w:t>
      </w:r>
      <w:r w:rsidR="005118AD">
        <w:rPr>
          <w:rFonts w:ascii="Arial" w:eastAsia="Times New Roman" w:hAnsi="Arial" w:cs="Arial" w:hint="cs"/>
          <w:color w:val="222222"/>
          <w:sz w:val="24"/>
          <w:szCs w:val="24"/>
          <w:rtl/>
        </w:rPr>
        <w:t>,</w:t>
      </w:r>
      <w:r w:rsidR="00021050">
        <w:rPr>
          <w:rFonts w:ascii="Arial" w:eastAsia="Times New Roman" w:hAnsi="Arial" w:cs="Arial" w:hint="cs"/>
          <w:color w:val="222222"/>
          <w:sz w:val="24"/>
          <w:szCs w:val="24"/>
          <w:rtl/>
        </w:rPr>
        <w:t xml:space="preserve"> </w:t>
      </w:r>
      <w:r w:rsidR="005118AD">
        <w:rPr>
          <w:rFonts w:ascii="Arial" w:eastAsia="Times New Roman" w:hAnsi="Arial" w:cs="Arial" w:hint="cs"/>
          <w:color w:val="222222"/>
          <w:sz w:val="24"/>
          <w:szCs w:val="24"/>
          <w:rtl/>
        </w:rPr>
        <w:t>ו</w:t>
      </w:r>
      <w:r w:rsidR="00021050">
        <w:rPr>
          <w:rFonts w:ascii="Arial" w:eastAsia="Times New Roman" w:hAnsi="Arial" w:cs="Arial" w:hint="cs"/>
          <w:color w:val="222222"/>
          <w:sz w:val="24"/>
          <w:szCs w:val="24"/>
          <w:rtl/>
        </w:rPr>
        <w:t>אלחדף ובר-און חקרו בני נוער ישראלים המתגוררים בתל אביב (אלחדף ובר-און 2010)</w:t>
      </w:r>
      <w:r w:rsidR="005118AD">
        <w:rPr>
          <w:rFonts w:ascii="Arial" w:eastAsia="Times New Roman" w:hAnsi="Arial" w:cs="Arial" w:hint="cs"/>
          <w:color w:val="222222"/>
          <w:sz w:val="24"/>
          <w:szCs w:val="24"/>
          <w:rtl/>
        </w:rPr>
        <w:t>.</w:t>
      </w:r>
      <w:r w:rsidR="00021050">
        <w:rPr>
          <w:rFonts w:ascii="Arial" w:eastAsia="Times New Roman" w:hAnsi="Arial" w:cs="Arial" w:hint="cs"/>
          <w:color w:val="222222"/>
          <w:sz w:val="24"/>
          <w:szCs w:val="24"/>
          <w:rtl/>
        </w:rPr>
        <w:t xml:space="preserve"> יוצא דופן הוא מחקרו של רוזנברג המתמקד בבני נוער בעלי השקפת עולם ניצית (רוזנברג. 2009)</w:t>
      </w:r>
      <w:r w:rsidR="005118AD">
        <w:rPr>
          <w:rFonts w:ascii="Arial" w:eastAsia="Times New Roman" w:hAnsi="Arial" w:cs="Arial" w:hint="cs"/>
          <w:color w:val="222222"/>
          <w:sz w:val="24"/>
          <w:szCs w:val="24"/>
          <w:rtl/>
        </w:rPr>
        <w:t>.</w:t>
      </w:r>
    </w:p>
    <w:p w:rsidR="00F429A3" w:rsidRDefault="00F429A3" w:rsidP="00163D9F">
      <w:pPr>
        <w:shd w:val="clear" w:color="auto" w:fill="FFFFFF"/>
        <w:spacing w:after="0" w:line="360" w:lineRule="auto"/>
        <w:rPr>
          <w:rFonts w:ascii="Arial" w:eastAsia="Times New Roman" w:hAnsi="Arial" w:cs="Arial"/>
          <w:color w:val="222222"/>
          <w:sz w:val="24"/>
          <w:szCs w:val="24"/>
          <w:rtl/>
        </w:rPr>
      </w:pPr>
    </w:p>
    <w:p w:rsidR="001417BB" w:rsidRDefault="007E3654" w:rsidP="00A76182">
      <w:pPr>
        <w:shd w:val="clear" w:color="auto" w:fill="FFFFFF"/>
        <w:spacing w:after="0" w:line="360" w:lineRule="auto"/>
        <w:rPr>
          <w:rFonts w:ascii="Arial" w:eastAsia="Times New Roman" w:hAnsi="Arial" w:cs="Arial"/>
          <w:color w:val="222222"/>
          <w:sz w:val="24"/>
          <w:szCs w:val="24"/>
          <w:rtl/>
        </w:rPr>
      </w:pPr>
      <w:r>
        <w:rPr>
          <w:rFonts w:ascii="Arial" w:eastAsia="Times New Roman" w:hAnsi="Arial" w:cs="Arial" w:hint="cs"/>
          <w:color w:val="222222"/>
          <w:sz w:val="24"/>
          <w:szCs w:val="24"/>
          <w:rtl/>
        </w:rPr>
        <w:lastRenderedPageBreak/>
        <w:t>בהינתן מיעוט המחקר בהקשר של תפישות ואמונות של סכסוך על אוכלוסייה המתגוררת מעבר לקו הירוק, בני נוער בכלל זה, מחקר</w:t>
      </w:r>
      <w:r w:rsidR="00EB6BD2">
        <w:rPr>
          <w:rFonts w:ascii="Arial" w:eastAsia="Times New Roman" w:hAnsi="Arial" w:cs="Arial" w:hint="cs"/>
          <w:color w:val="222222"/>
          <w:sz w:val="24"/>
          <w:szCs w:val="24"/>
          <w:rtl/>
        </w:rPr>
        <w:t xml:space="preserve"> </w:t>
      </w:r>
      <w:r w:rsidR="00A76182">
        <w:rPr>
          <w:rFonts w:ascii="Arial" w:eastAsia="Times New Roman" w:hAnsi="Arial" w:cs="Arial" w:hint="cs"/>
          <w:color w:val="222222"/>
          <w:sz w:val="24"/>
          <w:szCs w:val="24"/>
          <w:rtl/>
        </w:rPr>
        <w:t xml:space="preserve">הבודק </w:t>
      </w:r>
      <w:r w:rsidR="00A76182" w:rsidRPr="00994E26">
        <w:rPr>
          <w:rFonts w:cs="Arial" w:hint="cs"/>
          <w:sz w:val="24"/>
          <w:szCs w:val="24"/>
          <w:rtl/>
        </w:rPr>
        <w:t xml:space="preserve">אמונות, תחושות ותפישות בנוגע לסכסוך הישראלי-פלסטיני בקרב בני נוער ישראלים יהודים </w:t>
      </w:r>
      <w:r w:rsidR="00A76182">
        <w:rPr>
          <w:rFonts w:cs="Arial" w:hint="cs"/>
          <w:sz w:val="24"/>
          <w:szCs w:val="24"/>
          <w:rtl/>
        </w:rPr>
        <w:t>המתגוררים מעבר לקו הירוק</w:t>
      </w:r>
      <w:r w:rsidR="00EB6BD2">
        <w:rPr>
          <w:rFonts w:ascii="Arial" w:eastAsia="Times New Roman" w:hAnsi="Arial" w:cs="Arial" w:hint="cs"/>
          <w:color w:val="222222"/>
          <w:sz w:val="24"/>
          <w:szCs w:val="24"/>
          <w:rtl/>
        </w:rPr>
        <w:t xml:space="preserve"> יכול </w:t>
      </w:r>
      <w:r w:rsidR="00360DEB">
        <w:rPr>
          <w:rFonts w:ascii="Arial" w:eastAsia="Times New Roman" w:hAnsi="Arial" w:cs="Arial" w:hint="cs"/>
          <w:color w:val="222222"/>
          <w:sz w:val="24"/>
          <w:szCs w:val="24"/>
          <w:rtl/>
        </w:rPr>
        <w:t>ל</w:t>
      </w:r>
      <w:r w:rsidR="00EB6BD2">
        <w:rPr>
          <w:rFonts w:ascii="Arial" w:eastAsia="Times New Roman" w:hAnsi="Arial" w:cs="Arial" w:hint="cs"/>
          <w:color w:val="222222"/>
          <w:sz w:val="24"/>
          <w:szCs w:val="24"/>
          <w:rtl/>
        </w:rPr>
        <w:t>האיר זוויות התייחסות חדשות</w:t>
      </w:r>
      <w:r w:rsidR="00A76182">
        <w:rPr>
          <w:rFonts w:ascii="Arial" w:eastAsia="Times New Roman" w:hAnsi="Arial" w:cs="Arial" w:hint="cs"/>
          <w:color w:val="222222"/>
          <w:sz w:val="24"/>
          <w:szCs w:val="24"/>
          <w:rtl/>
        </w:rPr>
        <w:t xml:space="preserve"> שטרם קיבלו ביטוי בספרות</w:t>
      </w:r>
      <w:r w:rsidR="00EB6BD2">
        <w:rPr>
          <w:rFonts w:ascii="Arial" w:eastAsia="Times New Roman" w:hAnsi="Arial" w:cs="Arial" w:hint="cs"/>
          <w:color w:val="222222"/>
          <w:sz w:val="24"/>
          <w:szCs w:val="24"/>
          <w:rtl/>
        </w:rPr>
        <w:t xml:space="preserve">. </w:t>
      </w:r>
    </w:p>
    <w:p w:rsidR="001417BB" w:rsidRDefault="001417BB" w:rsidP="007E3654">
      <w:pPr>
        <w:shd w:val="clear" w:color="auto" w:fill="FFFFFF"/>
        <w:spacing w:after="0" w:line="360" w:lineRule="auto"/>
        <w:rPr>
          <w:rFonts w:ascii="Arial" w:eastAsia="Times New Roman" w:hAnsi="Arial" w:cs="Arial"/>
          <w:color w:val="222222"/>
          <w:sz w:val="24"/>
          <w:szCs w:val="24"/>
          <w:rtl/>
        </w:rPr>
      </w:pPr>
    </w:p>
    <w:p w:rsidR="00360DEB" w:rsidRDefault="005118AD" w:rsidP="00575F18">
      <w:pPr>
        <w:shd w:val="clear" w:color="auto" w:fill="FFFFFF"/>
        <w:spacing w:after="0" w:line="36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במחקר שנערך על בני נוער המתגוררים בישוב קהילתי מעבר לקו הירוק עולה מאפיין בדבר נגיעה אישית של אוכלוסיית המחקר כלפי הסכסוך הישראלי פלסטיני</w:t>
      </w:r>
      <w:r w:rsidR="004B59BA">
        <w:rPr>
          <w:rFonts w:ascii="Arial" w:eastAsia="Times New Roman" w:hAnsi="Arial" w:cs="Arial" w:hint="cs"/>
          <w:color w:val="222222"/>
          <w:sz w:val="24"/>
          <w:szCs w:val="24"/>
          <w:rtl/>
        </w:rPr>
        <w:t>, זאת בפן הטריטוריאלי שלו</w:t>
      </w:r>
      <w:r>
        <w:rPr>
          <w:rFonts w:ascii="Arial" w:eastAsia="Times New Roman" w:hAnsi="Arial" w:cs="Arial" w:hint="cs"/>
          <w:color w:val="222222"/>
          <w:sz w:val="24"/>
          <w:szCs w:val="24"/>
          <w:rtl/>
        </w:rPr>
        <w:t>. נגיעה אישית זו יוצרת ד</w:t>
      </w:r>
      <w:r w:rsidR="00163D9F" w:rsidRPr="008E58AF">
        <w:rPr>
          <w:rFonts w:ascii="Arial" w:eastAsia="Times New Roman" w:hAnsi="Arial" w:cs="Arial"/>
          <w:color w:val="222222"/>
          <w:sz w:val="24"/>
          <w:szCs w:val="24"/>
          <w:rtl/>
        </w:rPr>
        <w:t xml:space="preserve">ואליות בין הלאומי לאישי. היינו, התפישות והאמונות המאפיינות את המרואיינים </w:t>
      </w:r>
      <w:r>
        <w:rPr>
          <w:rFonts w:ascii="Arial" w:eastAsia="Times New Roman" w:hAnsi="Arial" w:cs="Arial" w:hint="cs"/>
          <w:color w:val="222222"/>
          <w:sz w:val="24"/>
          <w:szCs w:val="24"/>
          <w:rtl/>
        </w:rPr>
        <w:t>במחקר</w:t>
      </w:r>
      <w:r w:rsidR="00163D9F" w:rsidRPr="008E58AF">
        <w:rPr>
          <w:rFonts w:ascii="Arial" w:eastAsia="Times New Roman" w:hAnsi="Arial" w:cs="Arial"/>
          <w:color w:val="222222"/>
          <w:sz w:val="24"/>
          <w:szCs w:val="24"/>
          <w:rtl/>
        </w:rPr>
        <w:t xml:space="preserve"> נובעות לא רק מתוך אידאולוגיה, כפי שהמרואיינים מאפיינים אותה, אלא מתוך חשש </w:t>
      </w:r>
      <w:r w:rsidR="00163D9F" w:rsidRPr="008E58AF">
        <w:rPr>
          <w:rFonts w:ascii="Arial" w:eastAsia="Times New Roman" w:hAnsi="Arial" w:cs="Arial"/>
          <w:b/>
          <w:bCs/>
          <w:color w:val="222222"/>
          <w:sz w:val="24"/>
          <w:szCs w:val="24"/>
          <w:rtl/>
        </w:rPr>
        <w:t>אישי</w:t>
      </w:r>
      <w:r w:rsidR="00163D9F" w:rsidRPr="008E58AF">
        <w:rPr>
          <w:rFonts w:ascii="Arial" w:eastAsia="Times New Roman" w:hAnsi="Arial" w:cs="Arial"/>
          <w:color w:val="222222"/>
          <w:sz w:val="24"/>
          <w:szCs w:val="24"/>
          <w:rtl/>
        </w:rPr>
        <w:t xml:space="preserve"> להיעקר מהבית, בית במובן הרחב: משפחתי-חברתי-קהילתי - בו גדלו ובו הם גרים. </w:t>
      </w:r>
      <w:r w:rsidR="00EB6BD2">
        <w:rPr>
          <w:rFonts w:ascii="Arial" w:eastAsia="Times New Roman" w:hAnsi="Arial" w:cs="Arial"/>
          <w:color w:val="222222"/>
          <w:sz w:val="24"/>
          <w:szCs w:val="24"/>
          <w:rtl/>
        </w:rPr>
        <w:t xml:space="preserve">נגיעה </w:t>
      </w:r>
      <w:r w:rsidR="00163D9F" w:rsidRPr="008E58AF">
        <w:rPr>
          <w:rFonts w:ascii="Arial" w:eastAsia="Times New Roman" w:hAnsi="Arial" w:cs="Arial"/>
          <w:color w:val="222222"/>
          <w:sz w:val="24"/>
          <w:szCs w:val="24"/>
          <w:rtl/>
        </w:rPr>
        <w:t xml:space="preserve">אישית </w:t>
      </w:r>
      <w:r w:rsidR="00EB6BD2">
        <w:rPr>
          <w:rFonts w:ascii="Arial" w:eastAsia="Times New Roman" w:hAnsi="Arial" w:cs="Arial" w:hint="cs"/>
          <w:color w:val="222222"/>
          <w:sz w:val="24"/>
          <w:szCs w:val="24"/>
          <w:rtl/>
        </w:rPr>
        <w:t>זו משמעותית</w:t>
      </w:r>
      <w:r w:rsidR="00163D9F" w:rsidRPr="008E58AF">
        <w:rPr>
          <w:rFonts w:ascii="Arial" w:eastAsia="Times New Roman" w:hAnsi="Arial" w:cs="Arial"/>
          <w:color w:val="222222"/>
          <w:sz w:val="24"/>
          <w:szCs w:val="24"/>
          <w:rtl/>
        </w:rPr>
        <w:t xml:space="preserve"> מכיוון שהיא מקנה מימד נוסף, רגשי ורב עוצמה, ל</w:t>
      </w:r>
      <w:r w:rsidR="00360DEB">
        <w:rPr>
          <w:rFonts w:ascii="Arial" w:eastAsia="Times New Roman" w:hAnsi="Arial" w:cs="Arial" w:hint="cs"/>
          <w:color w:val="222222"/>
          <w:sz w:val="24"/>
          <w:szCs w:val="24"/>
          <w:rtl/>
        </w:rPr>
        <w:t>אמונות ול</w:t>
      </w:r>
      <w:r w:rsidR="00163D9F" w:rsidRPr="008E58AF">
        <w:rPr>
          <w:rFonts w:ascii="Arial" w:eastAsia="Times New Roman" w:hAnsi="Arial" w:cs="Arial"/>
          <w:color w:val="222222"/>
          <w:sz w:val="24"/>
          <w:szCs w:val="24"/>
          <w:rtl/>
        </w:rPr>
        <w:t>תפישות בהן המרואיינים מחזיקים, מחזקת אותן, וכפועל יוצא מכך מחזקת את המימד העיקש (</w:t>
      </w:r>
      <w:r w:rsidR="00163D9F" w:rsidRPr="008E58AF">
        <w:rPr>
          <w:rFonts w:ascii="Arial" w:eastAsia="Times New Roman" w:hAnsi="Arial" w:cs="Arial"/>
          <w:color w:val="222222"/>
          <w:sz w:val="24"/>
          <w:szCs w:val="24"/>
        </w:rPr>
        <w:t>intractable</w:t>
      </w:r>
      <w:r w:rsidR="00163D9F" w:rsidRPr="008E58AF">
        <w:rPr>
          <w:rFonts w:ascii="Arial" w:eastAsia="Times New Roman" w:hAnsi="Arial" w:cs="Arial"/>
          <w:color w:val="222222"/>
          <w:sz w:val="24"/>
          <w:szCs w:val="24"/>
          <w:rtl/>
        </w:rPr>
        <w:t xml:space="preserve">) של הסכסוך. </w:t>
      </w:r>
    </w:p>
    <w:p w:rsidR="00360DEB" w:rsidRDefault="00360DEB" w:rsidP="00360DEB">
      <w:pPr>
        <w:shd w:val="clear" w:color="auto" w:fill="FFFFFF"/>
        <w:spacing w:after="0" w:line="360" w:lineRule="auto"/>
        <w:rPr>
          <w:rFonts w:ascii="Arial" w:eastAsia="Times New Roman" w:hAnsi="Arial" w:cs="Arial"/>
          <w:color w:val="222222"/>
          <w:sz w:val="24"/>
          <w:szCs w:val="24"/>
          <w:rtl/>
        </w:rPr>
      </w:pPr>
    </w:p>
    <w:p w:rsidR="00163D9F" w:rsidRDefault="001417BB" w:rsidP="001417BB">
      <w:pPr>
        <w:shd w:val="clear" w:color="auto" w:fill="FFFFFF"/>
        <w:spacing w:after="0" w:line="36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נקודה</w:t>
      </w:r>
      <w:r w:rsidR="00A814E3">
        <w:rPr>
          <w:rFonts w:ascii="Arial" w:eastAsia="Times New Roman" w:hAnsi="Arial" w:cs="Arial" w:hint="cs"/>
          <w:color w:val="222222"/>
          <w:sz w:val="24"/>
          <w:szCs w:val="24"/>
          <w:rtl/>
        </w:rPr>
        <w:t xml:space="preserve"> זו משמעותית</w:t>
      </w:r>
      <w:r>
        <w:rPr>
          <w:rFonts w:ascii="Arial" w:eastAsia="Times New Roman" w:hAnsi="Arial" w:cs="Arial" w:hint="cs"/>
          <w:color w:val="222222"/>
          <w:sz w:val="24"/>
          <w:szCs w:val="24"/>
          <w:rtl/>
        </w:rPr>
        <w:t xml:space="preserve"> הואיל והיא</w:t>
      </w:r>
      <w:r w:rsidR="00360DEB">
        <w:rPr>
          <w:rFonts w:ascii="Arial" w:eastAsia="Times New Roman" w:hAnsi="Arial" w:cs="Arial" w:hint="cs"/>
          <w:color w:val="222222"/>
          <w:sz w:val="24"/>
          <w:szCs w:val="24"/>
          <w:rtl/>
        </w:rPr>
        <w:t xml:space="preserve"> </w:t>
      </w:r>
      <w:r w:rsidR="002037D7">
        <w:rPr>
          <w:rFonts w:ascii="Arial" w:eastAsia="Times New Roman" w:hAnsi="Arial" w:cs="Arial" w:hint="cs"/>
          <w:color w:val="222222"/>
          <w:sz w:val="24"/>
          <w:szCs w:val="24"/>
          <w:rtl/>
        </w:rPr>
        <w:t>מרחיב</w:t>
      </w:r>
      <w:r>
        <w:rPr>
          <w:rFonts w:ascii="Arial" w:eastAsia="Times New Roman" w:hAnsi="Arial" w:cs="Arial" w:hint="cs"/>
          <w:color w:val="222222"/>
          <w:sz w:val="24"/>
          <w:szCs w:val="24"/>
          <w:rtl/>
        </w:rPr>
        <w:t>ה</w:t>
      </w:r>
      <w:r w:rsidR="002037D7">
        <w:rPr>
          <w:rFonts w:ascii="Arial" w:eastAsia="Times New Roman" w:hAnsi="Arial" w:cs="Arial" w:hint="cs"/>
          <w:color w:val="222222"/>
          <w:sz w:val="24"/>
          <w:szCs w:val="24"/>
          <w:rtl/>
        </w:rPr>
        <w:t xml:space="preserve"> את יריעת המחקר ביחס לאמונות ותפישות של סכסוך, ו</w:t>
      </w:r>
      <w:r w:rsidR="00360DEB">
        <w:rPr>
          <w:rFonts w:ascii="Arial" w:eastAsia="Times New Roman" w:hAnsi="Arial" w:cs="Arial"/>
          <w:color w:val="222222"/>
          <w:sz w:val="24"/>
          <w:szCs w:val="24"/>
          <w:rtl/>
        </w:rPr>
        <w:t>תור</w:t>
      </w:r>
      <w:r>
        <w:rPr>
          <w:rFonts w:ascii="Arial" w:eastAsia="Times New Roman" w:hAnsi="Arial" w:cs="Arial" w:hint="cs"/>
          <w:color w:val="222222"/>
          <w:sz w:val="24"/>
          <w:szCs w:val="24"/>
          <w:rtl/>
        </w:rPr>
        <w:t>מת</w:t>
      </w:r>
      <w:r w:rsidR="002037D7">
        <w:rPr>
          <w:rFonts w:ascii="Arial" w:eastAsia="Times New Roman" w:hAnsi="Arial" w:cs="Arial"/>
          <w:color w:val="222222"/>
          <w:sz w:val="24"/>
          <w:szCs w:val="24"/>
          <w:rtl/>
        </w:rPr>
        <w:t xml:space="preserve"> תובנה נוספת למחקר הקיים</w:t>
      </w:r>
      <w:r w:rsidR="002037D7">
        <w:rPr>
          <w:rFonts w:ascii="Arial" w:eastAsia="Times New Roman" w:hAnsi="Arial" w:cs="Arial" w:hint="cs"/>
          <w:color w:val="222222"/>
          <w:sz w:val="24"/>
          <w:szCs w:val="24"/>
          <w:rtl/>
        </w:rPr>
        <w:t>.</w:t>
      </w:r>
      <w:r w:rsidR="00163D9F" w:rsidRPr="008E58AF">
        <w:rPr>
          <w:rFonts w:ascii="Arial" w:eastAsia="Times New Roman" w:hAnsi="Arial" w:cs="Arial"/>
          <w:color w:val="222222"/>
          <w:sz w:val="24"/>
          <w:szCs w:val="24"/>
          <w:rtl/>
        </w:rPr>
        <w:t xml:space="preserve"> </w:t>
      </w:r>
      <w:r w:rsidR="002037D7">
        <w:rPr>
          <w:rFonts w:ascii="Arial" w:eastAsia="Times New Roman" w:hAnsi="Arial" w:cs="Arial" w:hint="cs"/>
          <w:color w:val="222222"/>
          <w:sz w:val="24"/>
          <w:szCs w:val="24"/>
          <w:rtl/>
        </w:rPr>
        <w:t xml:space="preserve">תובנה זו מראה כי </w:t>
      </w:r>
      <w:r w:rsidR="00163D9F" w:rsidRPr="008E58AF">
        <w:rPr>
          <w:rFonts w:ascii="Arial" w:eastAsia="Times New Roman" w:hAnsi="Arial" w:cs="Arial"/>
          <w:color w:val="222222"/>
          <w:sz w:val="24"/>
          <w:szCs w:val="24"/>
          <w:rtl/>
        </w:rPr>
        <w:t>בקרב אוכלוסייה בעלת נ</w:t>
      </w:r>
      <w:r w:rsidR="007E3654">
        <w:rPr>
          <w:rFonts w:ascii="Arial" w:eastAsia="Times New Roman" w:hAnsi="Arial" w:cs="Arial"/>
          <w:color w:val="222222"/>
          <w:sz w:val="24"/>
          <w:szCs w:val="24"/>
          <w:rtl/>
        </w:rPr>
        <w:t>גיעה אישית לנושאים בליבת הסכסוך</w:t>
      </w:r>
      <w:r w:rsidR="00163D9F" w:rsidRPr="008E58AF">
        <w:rPr>
          <w:rFonts w:ascii="Arial" w:eastAsia="Times New Roman" w:hAnsi="Arial" w:cs="Arial"/>
          <w:color w:val="222222"/>
          <w:sz w:val="24"/>
          <w:szCs w:val="24"/>
          <w:rtl/>
        </w:rPr>
        <w:t xml:space="preserve"> יכול להתקיים תמהיל בו הלאומי והאישי מעורבים, ודבר זה יכול להעצים תפישות ואמונות של סכסוך.</w:t>
      </w:r>
    </w:p>
    <w:p w:rsidR="004160A6" w:rsidRDefault="004160A6" w:rsidP="004160A6">
      <w:pPr>
        <w:shd w:val="clear" w:color="auto" w:fill="FFFFFF"/>
        <w:spacing w:after="0" w:line="360" w:lineRule="auto"/>
        <w:rPr>
          <w:rFonts w:ascii="Arial" w:eastAsia="Times New Roman" w:hAnsi="Arial" w:cs="Arial"/>
          <w:color w:val="222222"/>
          <w:sz w:val="24"/>
          <w:szCs w:val="24"/>
          <w:rtl/>
        </w:rPr>
      </w:pPr>
    </w:p>
    <w:p w:rsidR="008E58AF" w:rsidRPr="00D8043F" w:rsidRDefault="00360DEB" w:rsidP="00A814E3">
      <w:pPr>
        <w:shd w:val="clear" w:color="auto" w:fill="FFFFFF"/>
        <w:spacing w:after="0" w:line="36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ה</w:t>
      </w:r>
      <w:r w:rsidR="004160A6">
        <w:rPr>
          <w:rFonts w:ascii="Arial" w:eastAsia="Times New Roman" w:hAnsi="Arial" w:cs="Arial" w:hint="cs"/>
          <w:color w:val="222222"/>
          <w:sz w:val="24"/>
          <w:szCs w:val="24"/>
          <w:rtl/>
        </w:rPr>
        <w:t xml:space="preserve">מחקר </w:t>
      </w:r>
      <w:r w:rsidR="007E3654">
        <w:rPr>
          <w:rFonts w:ascii="Arial" w:eastAsia="Times New Roman" w:hAnsi="Arial" w:cs="Arial" w:hint="cs"/>
          <w:color w:val="222222"/>
          <w:sz w:val="24"/>
          <w:szCs w:val="24"/>
          <w:rtl/>
        </w:rPr>
        <w:t>מעמיק את הבנתנו אודות אמונות ותפישות בחברה מאופיינת סכסוך ממושך ועיקש, ומציג</w:t>
      </w:r>
      <w:r w:rsidR="004160A6">
        <w:rPr>
          <w:rFonts w:ascii="Arial" w:eastAsia="Times New Roman" w:hAnsi="Arial" w:cs="Arial" w:hint="cs"/>
          <w:color w:val="222222"/>
          <w:sz w:val="24"/>
          <w:szCs w:val="24"/>
          <w:rtl/>
        </w:rPr>
        <w:t xml:space="preserve"> זווית הסתכלות חדשה </w:t>
      </w:r>
      <w:r w:rsidR="007E3654">
        <w:rPr>
          <w:rFonts w:ascii="Arial" w:eastAsia="Times New Roman" w:hAnsi="Arial" w:cs="Arial" w:hint="cs"/>
          <w:color w:val="222222"/>
          <w:sz w:val="24"/>
          <w:szCs w:val="24"/>
          <w:rtl/>
        </w:rPr>
        <w:t>בנושא</w:t>
      </w:r>
      <w:r w:rsidR="004160A6">
        <w:rPr>
          <w:rFonts w:ascii="Arial" w:eastAsia="Times New Roman" w:hAnsi="Arial" w:cs="Arial" w:hint="cs"/>
          <w:color w:val="222222"/>
          <w:sz w:val="24"/>
          <w:szCs w:val="24"/>
          <w:rtl/>
        </w:rPr>
        <w:t xml:space="preserve">, זווית המקפלת בתוכה את ההשפעה האישית שיש לסכסוכים הללו, וליישוב אפשרי שלהם, על אוכלוסיות מסוימות, וכתוצאה מהשפעה זו, על אמונותיהן ותפישותיהן של אוכלוסיות אלה ביחס לסכסוך. </w:t>
      </w:r>
      <w:r w:rsidR="001417BB">
        <w:rPr>
          <w:rFonts w:ascii="Arial" w:eastAsia="Times New Roman" w:hAnsi="Arial" w:cs="Arial" w:hint="cs"/>
          <w:color w:val="222222"/>
          <w:sz w:val="24"/>
          <w:szCs w:val="24"/>
          <w:rtl/>
        </w:rPr>
        <w:t xml:space="preserve">תובנה זו מעמיקה את המחקר אודות סכסוך ממושך ועיקש ומראה כי </w:t>
      </w:r>
      <w:r w:rsidR="004160A6">
        <w:rPr>
          <w:rFonts w:ascii="Arial" w:eastAsia="Times New Roman" w:hAnsi="Arial" w:cs="Arial" w:hint="cs"/>
          <w:color w:val="222222"/>
          <w:sz w:val="24"/>
          <w:szCs w:val="24"/>
          <w:rtl/>
        </w:rPr>
        <w:t xml:space="preserve">אמונות ותפישות </w:t>
      </w:r>
      <w:r w:rsidR="001417BB">
        <w:rPr>
          <w:rFonts w:ascii="Arial" w:eastAsia="Times New Roman" w:hAnsi="Arial" w:cs="Arial" w:hint="cs"/>
          <w:color w:val="222222"/>
          <w:sz w:val="24"/>
          <w:szCs w:val="24"/>
          <w:rtl/>
        </w:rPr>
        <w:t xml:space="preserve">של סכסוך </w:t>
      </w:r>
      <w:r w:rsidR="004160A6">
        <w:rPr>
          <w:rFonts w:ascii="Arial" w:eastAsia="Times New Roman" w:hAnsi="Arial" w:cs="Arial" w:hint="cs"/>
          <w:color w:val="222222"/>
          <w:sz w:val="24"/>
          <w:szCs w:val="24"/>
          <w:rtl/>
        </w:rPr>
        <w:t xml:space="preserve">אינן </w:t>
      </w:r>
      <w:r w:rsidR="00A814E3">
        <w:rPr>
          <w:rFonts w:ascii="Arial" w:eastAsia="Times New Roman" w:hAnsi="Arial" w:cs="Arial" w:hint="cs"/>
          <w:color w:val="222222"/>
          <w:sz w:val="24"/>
          <w:szCs w:val="24"/>
          <w:rtl/>
        </w:rPr>
        <w:t xml:space="preserve">רק </w:t>
      </w:r>
      <w:r w:rsidR="004160A6">
        <w:rPr>
          <w:rFonts w:ascii="Arial" w:eastAsia="Times New Roman" w:hAnsi="Arial" w:cs="Arial" w:hint="cs"/>
          <w:color w:val="222222"/>
          <w:sz w:val="24"/>
          <w:szCs w:val="24"/>
          <w:rtl/>
        </w:rPr>
        <w:t>תוצר של מאפ</w:t>
      </w:r>
      <w:r w:rsidR="001417BB">
        <w:rPr>
          <w:rFonts w:ascii="Arial" w:eastAsia="Times New Roman" w:hAnsi="Arial" w:cs="Arial" w:hint="cs"/>
          <w:color w:val="222222"/>
          <w:sz w:val="24"/>
          <w:szCs w:val="24"/>
          <w:rtl/>
        </w:rPr>
        <w:t>י</w:t>
      </w:r>
      <w:r w:rsidR="004160A6">
        <w:rPr>
          <w:rFonts w:ascii="Arial" w:eastAsia="Times New Roman" w:hAnsi="Arial" w:cs="Arial" w:hint="cs"/>
          <w:color w:val="222222"/>
          <w:sz w:val="24"/>
          <w:szCs w:val="24"/>
          <w:rtl/>
        </w:rPr>
        <w:t xml:space="preserve">ינים חברתיים </w:t>
      </w:r>
      <w:r w:rsidR="004160A6" w:rsidRPr="00360DEB">
        <w:rPr>
          <w:rFonts w:ascii="Arial" w:eastAsia="Times New Roman" w:hAnsi="Arial" w:cs="Arial" w:hint="cs"/>
          <w:b/>
          <w:bCs/>
          <w:color w:val="222222"/>
          <w:sz w:val="24"/>
          <w:szCs w:val="24"/>
          <w:rtl/>
        </w:rPr>
        <w:t>כלל</w:t>
      </w:r>
      <w:r w:rsidRPr="00360DEB">
        <w:rPr>
          <w:rFonts w:ascii="Arial" w:eastAsia="Times New Roman" w:hAnsi="Arial" w:cs="Arial" w:hint="cs"/>
          <w:b/>
          <w:bCs/>
          <w:color w:val="222222"/>
          <w:sz w:val="24"/>
          <w:szCs w:val="24"/>
          <w:rtl/>
        </w:rPr>
        <w:t>י</w:t>
      </w:r>
      <w:r w:rsidR="004160A6" w:rsidRPr="00360DEB">
        <w:rPr>
          <w:rFonts w:ascii="Arial" w:eastAsia="Times New Roman" w:hAnsi="Arial" w:cs="Arial" w:hint="cs"/>
          <w:b/>
          <w:bCs/>
          <w:color w:val="222222"/>
          <w:sz w:val="24"/>
          <w:szCs w:val="24"/>
          <w:rtl/>
        </w:rPr>
        <w:t>ים</w:t>
      </w:r>
      <w:r w:rsidR="004160A6">
        <w:rPr>
          <w:rFonts w:ascii="Arial" w:eastAsia="Times New Roman" w:hAnsi="Arial" w:cs="Arial" w:hint="cs"/>
          <w:color w:val="222222"/>
          <w:sz w:val="24"/>
          <w:szCs w:val="24"/>
          <w:rtl/>
        </w:rPr>
        <w:t xml:space="preserve">, כי אם </w:t>
      </w:r>
      <w:r w:rsidR="001417BB">
        <w:rPr>
          <w:rFonts w:ascii="Arial" w:eastAsia="Times New Roman" w:hAnsi="Arial" w:cs="Arial" w:hint="cs"/>
          <w:color w:val="222222"/>
          <w:sz w:val="24"/>
          <w:szCs w:val="24"/>
          <w:rtl/>
        </w:rPr>
        <w:t xml:space="preserve">יכולות להוות גם </w:t>
      </w:r>
      <w:r w:rsidR="004160A6">
        <w:rPr>
          <w:rFonts w:ascii="Arial" w:eastAsia="Times New Roman" w:hAnsi="Arial" w:cs="Arial" w:hint="cs"/>
          <w:color w:val="222222"/>
          <w:sz w:val="24"/>
          <w:szCs w:val="24"/>
          <w:rtl/>
        </w:rPr>
        <w:t xml:space="preserve">תוצר של מאפיינים </w:t>
      </w:r>
      <w:r w:rsidR="004160A6" w:rsidRPr="00360DEB">
        <w:rPr>
          <w:rFonts w:ascii="Arial" w:eastAsia="Times New Roman" w:hAnsi="Arial" w:cs="Arial" w:hint="cs"/>
          <w:b/>
          <w:bCs/>
          <w:color w:val="222222"/>
          <w:sz w:val="24"/>
          <w:szCs w:val="24"/>
          <w:rtl/>
        </w:rPr>
        <w:t>פרטיקולריים</w:t>
      </w:r>
      <w:r w:rsidR="004160A6">
        <w:rPr>
          <w:rFonts w:ascii="Arial" w:eastAsia="Times New Roman" w:hAnsi="Arial" w:cs="Arial" w:hint="cs"/>
          <w:color w:val="222222"/>
          <w:sz w:val="24"/>
          <w:szCs w:val="24"/>
          <w:rtl/>
        </w:rPr>
        <w:t xml:space="preserve"> הייחודיים לאוכלוסייה שלה נגיעה אישית ביחס למאפיין מסוים של הסכסוך.</w:t>
      </w:r>
      <w:r w:rsidR="001417BB">
        <w:rPr>
          <w:rFonts w:ascii="Arial" w:eastAsia="Times New Roman" w:hAnsi="Arial" w:cs="Arial" w:hint="cs"/>
          <w:color w:val="222222"/>
          <w:sz w:val="24"/>
          <w:szCs w:val="24"/>
          <w:rtl/>
        </w:rPr>
        <w:t xml:space="preserve"> נגיעה אישית זו, </w:t>
      </w:r>
      <w:r w:rsidR="00A814E3">
        <w:rPr>
          <w:rFonts w:ascii="Arial" w:eastAsia="Times New Roman" w:hAnsi="Arial" w:cs="Arial" w:hint="cs"/>
          <w:color w:val="222222"/>
          <w:sz w:val="24"/>
          <w:szCs w:val="24"/>
          <w:rtl/>
        </w:rPr>
        <w:t>במשולב עם האמונות הכלליות,</w:t>
      </w:r>
      <w:r w:rsidR="001417BB">
        <w:rPr>
          <w:rFonts w:ascii="Arial" w:eastAsia="Times New Roman" w:hAnsi="Arial" w:cs="Arial" w:hint="cs"/>
          <w:color w:val="222222"/>
          <w:sz w:val="24"/>
          <w:szCs w:val="24"/>
          <w:rtl/>
        </w:rPr>
        <w:t xml:space="preserve"> </w:t>
      </w:r>
      <w:r w:rsidR="00D8043F">
        <w:rPr>
          <w:rFonts w:ascii="Arial" w:eastAsia="Times New Roman" w:hAnsi="Arial" w:cs="Arial" w:hint="cs"/>
          <w:color w:val="222222"/>
          <w:sz w:val="24"/>
          <w:szCs w:val="24"/>
          <w:rtl/>
        </w:rPr>
        <w:t>יכול</w:t>
      </w:r>
      <w:r w:rsidR="00A814E3">
        <w:rPr>
          <w:rFonts w:ascii="Arial" w:eastAsia="Times New Roman" w:hAnsi="Arial" w:cs="Arial" w:hint="cs"/>
          <w:color w:val="222222"/>
          <w:sz w:val="24"/>
          <w:szCs w:val="24"/>
          <w:rtl/>
        </w:rPr>
        <w:t>ה להוות גורם</w:t>
      </w:r>
      <w:r w:rsidR="00D8043F">
        <w:rPr>
          <w:rFonts w:ascii="Arial" w:eastAsia="Times New Roman" w:hAnsi="Arial" w:cs="Arial" w:hint="cs"/>
          <w:color w:val="222222"/>
          <w:sz w:val="24"/>
          <w:szCs w:val="24"/>
          <w:rtl/>
        </w:rPr>
        <w:t xml:space="preserve"> </w:t>
      </w:r>
      <w:r w:rsidR="00A814E3">
        <w:rPr>
          <w:rFonts w:ascii="Arial" w:eastAsia="Times New Roman" w:hAnsi="Arial" w:cs="Arial" w:hint="cs"/>
          <w:color w:val="222222"/>
          <w:sz w:val="24"/>
          <w:szCs w:val="24"/>
          <w:rtl/>
        </w:rPr>
        <w:t>ה</w:t>
      </w:r>
      <w:r w:rsidR="00D8043F">
        <w:rPr>
          <w:rFonts w:ascii="Arial" w:eastAsia="Times New Roman" w:hAnsi="Arial" w:cs="Arial" w:hint="cs"/>
          <w:color w:val="222222"/>
          <w:sz w:val="24"/>
          <w:szCs w:val="24"/>
          <w:rtl/>
        </w:rPr>
        <w:t>מחזק את המימד העיקש של הסכסוך.</w:t>
      </w:r>
    </w:p>
    <w:sectPr w:rsidR="008E58AF" w:rsidRPr="00D8043F" w:rsidSect="00876DB9">
      <w:pgSz w:w="11906" w:h="16838"/>
      <w:pgMar w:top="1440" w:right="1800" w:bottom="1134"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B1" w:rsidRDefault="008A17B1" w:rsidP="00530257">
      <w:pPr>
        <w:spacing w:after="0" w:line="240" w:lineRule="auto"/>
      </w:pPr>
      <w:r>
        <w:separator/>
      </w:r>
    </w:p>
  </w:endnote>
  <w:endnote w:type="continuationSeparator" w:id="0">
    <w:p w:rsidR="008A17B1" w:rsidRDefault="008A17B1" w:rsidP="0053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B1" w:rsidRDefault="008A17B1" w:rsidP="00530257">
      <w:pPr>
        <w:spacing w:after="0" w:line="240" w:lineRule="auto"/>
      </w:pPr>
      <w:r>
        <w:separator/>
      </w:r>
    </w:p>
  </w:footnote>
  <w:footnote w:type="continuationSeparator" w:id="0">
    <w:p w:rsidR="008A17B1" w:rsidRDefault="008A17B1" w:rsidP="005302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AF"/>
    <w:rsid w:val="00021050"/>
    <w:rsid w:val="00021CF4"/>
    <w:rsid w:val="000C04EA"/>
    <w:rsid w:val="00104E01"/>
    <w:rsid w:val="001417BB"/>
    <w:rsid w:val="00163D9F"/>
    <w:rsid w:val="00194A3C"/>
    <w:rsid w:val="001A4409"/>
    <w:rsid w:val="002037D7"/>
    <w:rsid w:val="00360DEB"/>
    <w:rsid w:val="00382FAA"/>
    <w:rsid w:val="004160A6"/>
    <w:rsid w:val="0046585C"/>
    <w:rsid w:val="004B59BA"/>
    <w:rsid w:val="004D2645"/>
    <w:rsid w:val="004D31E5"/>
    <w:rsid w:val="005118AD"/>
    <w:rsid w:val="00512D54"/>
    <w:rsid w:val="00530257"/>
    <w:rsid w:val="00575F18"/>
    <w:rsid w:val="00633BA9"/>
    <w:rsid w:val="00655668"/>
    <w:rsid w:val="0077107D"/>
    <w:rsid w:val="00785856"/>
    <w:rsid w:val="007C2F6B"/>
    <w:rsid w:val="007D5D4A"/>
    <w:rsid w:val="007E3654"/>
    <w:rsid w:val="007E449A"/>
    <w:rsid w:val="0080770E"/>
    <w:rsid w:val="00876DB9"/>
    <w:rsid w:val="008A17B1"/>
    <w:rsid w:val="008B782B"/>
    <w:rsid w:val="008C13D5"/>
    <w:rsid w:val="008E58AF"/>
    <w:rsid w:val="009874CD"/>
    <w:rsid w:val="0099097E"/>
    <w:rsid w:val="009F7A5A"/>
    <w:rsid w:val="00A27DD1"/>
    <w:rsid w:val="00A71AE5"/>
    <w:rsid w:val="00A76182"/>
    <w:rsid w:val="00A814E3"/>
    <w:rsid w:val="00A97AB8"/>
    <w:rsid w:val="00B01D2C"/>
    <w:rsid w:val="00BB16F9"/>
    <w:rsid w:val="00BB1CBF"/>
    <w:rsid w:val="00C25483"/>
    <w:rsid w:val="00CB5B35"/>
    <w:rsid w:val="00D8043F"/>
    <w:rsid w:val="00D81D01"/>
    <w:rsid w:val="00DB1BC1"/>
    <w:rsid w:val="00E500DF"/>
    <w:rsid w:val="00E82F6A"/>
    <w:rsid w:val="00E86934"/>
    <w:rsid w:val="00E96A39"/>
    <w:rsid w:val="00EB6BD2"/>
    <w:rsid w:val="00EC29CC"/>
    <w:rsid w:val="00EC46BD"/>
    <w:rsid w:val="00F429A3"/>
    <w:rsid w:val="00FB1F48"/>
    <w:rsid w:val="00FC6158"/>
    <w:rsid w:val="00FE6E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CE6A-4FE7-413F-B9DF-BBD2AF1F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58AF"/>
  </w:style>
  <w:style w:type="paragraph" w:styleId="a3">
    <w:name w:val="Balloon Text"/>
    <w:basedOn w:val="a"/>
    <w:link w:val="a4"/>
    <w:uiPriority w:val="99"/>
    <w:semiHidden/>
    <w:unhideWhenUsed/>
    <w:rsid w:val="008B782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B782B"/>
    <w:rPr>
      <w:rFonts w:ascii="Tahoma" w:hAnsi="Tahoma" w:cs="Tahoma"/>
      <w:sz w:val="16"/>
      <w:szCs w:val="16"/>
    </w:rPr>
  </w:style>
  <w:style w:type="paragraph" w:styleId="a5">
    <w:name w:val="footnote text"/>
    <w:basedOn w:val="a"/>
    <w:link w:val="a6"/>
    <w:uiPriority w:val="99"/>
    <w:unhideWhenUsed/>
    <w:rsid w:val="00530257"/>
    <w:pPr>
      <w:spacing w:after="0" w:line="240" w:lineRule="auto"/>
    </w:pPr>
    <w:rPr>
      <w:sz w:val="20"/>
      <w:szCs w:val="20"/>
    </w:rPr>
  </w:style>
  <w:style w:type="character" w:customStyle="1" w:styleId="a6">
    <w:name w:val="טקסט הערת שוליים תו"/>
    <w:basedOn w:val="a0"/>
    <w:link w:val="a5"/>
    <w:uiPriority w:val="99"/>
    <w:rsid w:val="00530257"/>
    <w:rPr>
      <w:sz w:val="20"/>
      <w:szCs w:val="20"/>
    </w:rPr>
  </w:style>
  <w:style w:type="character" w:styleId="a7">
    <w:name w:val="footnote reference"/>
    <w:basedOn w:val="a0"/>
    <w:uiPriority w:val="99"/>
    <w:semiHidden/>
    <w:unhideWhenUsed/>
    <w:rsid w:val="00530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0372">
      <w:bodyDiv w:val="1"/>
      <w:marLeft w:val="0"/>
      <w:marRight w:val="0"/>
      <w:marTop w:val="0"/>
      <w:marBottom w:val="0"/>
      <w:divBdr>
        <w:top w:val="none" w:sz="0" w:space="0" w:color="auto"/>
        <w:left w:val="none" w:sz="0" w:space="0" w:color="auto"/>
        <w:bottom w:val="none" w:sz="0" w:space="0" w:color="auto"/>
        <w:right w:val="none" w:sz="0" w:space="0" w:color="auto"/>
      </w:divBdr>
      <w:divsChild>
        <w:div w:id="320551320">
          <w:marLeft w:val="0"/>
          <w:marRight w:val="0"/>
          <w:marTop w:val="0"/>
          <w:marBottom w:val="0"/>
          <w:divBdr>
            <w:top w:val="none" w:sz="0" w:space="0" w:color="auto"/>
            <w:left w:val="none" w:sz="0" w:space="0" w:color="auto"/>
            <w:bottom w:val="none" w:sz="0" w:space="0" w:color="auto"/>
            <w:right w:val="none" w:sz="0" w:space="0" w:color="auto"/>
          </w:divBdr>
        </w:div>
      </w:divsChild>
    </w:div>
    <w:div w:id="373115648">
      <w:bodyDiv w:val="1"/>
      <w:marLeft w:val="0"/>
      <w:marRight w:val="0"/>
      <w:marTop w:val="0"/>
      <w:marBottom w:val="0"/>
      <w:divBdr>
        <w:top w:val="none" w:sz="0" w:space="0" w:color="auto"/>
        <w:left w:val="none" w:sz="0" w:space="0" w:color="auto"/>
        <w:bottom w:val="none" w:sz="0" w:space="0" w:color="auto"/>
        <w:right w:val="none" w:sz="0" w:space="0" w:color="auto"/>
      </w:divBdr>
      <w:divsChild>
        <w:div w:id="1134786342">
          <w:marLeft w:val="0"/>
          <w:marRight w:val="0"/>
          <w:marTop w:val="0"/>
          <w:marBottom w:val="0"/>
          <w:divBdr>
            <w:top w:val="none" w:sz="0" w:space="0" w:color="auto"/>
            <w:left w:val="none" w:sz="0" w:space="0" w:color="auto"/>
            <w:bottom w:val="none" w:sz="0" w:space="0" w:color="auto"/>
            <w:right w:val="none" w:sz="0" w:space="0" w:color="auto"/>
          </w:divBdr>
        </w:div>
        <w:div w:id="607466138">
          <w:marLeft w:val="0"/>
          <w:marRight w:val="0"/>
          <w:marTop w:val="0"/>
          <w:marBottom w:val="0"/>
          <w:divBdr>
            <w:top w:val="none" w:sz="0" w:space="0" w:color="auto"/>
            <w:left w:val="none" w:sz="0" w:space="0" w:color="auto"/>
            <w:bottom w:val="none" w:sz="0" w:space="0" w:color="auto"/>
            <w:right w:val="none" w:sz="0" w:space="0" w:color="auto"/>
          </w:divBdr>
        </w:div>
        <w:div w:id="1181553619">
          <w:marLeft w:val="0"/>
          <w:marRight w:val="0"/>
          <w:marTop w:val="0"/>
          <w:marBottom w:val="0"/>
          <w:divBdr>
            <w:top w:val="none" w:sz="0" w:space="0" w:color="auto"/>
            <w:left w:val="none" w:sz="0" w:space="0" w:color="auto"/>
            <w:bottom w:val="none" w:sz="0" w:space="0" w:color="auto"/>
            <w:right w:val="none" w:sz="0" w:space="0" w:color="auto"/>
          </w:divBdr>
        </w:div>
      </w:divsChild>
    </w:div>
    <w:div w:id="1251233280">
      <w:bodyDiv w:val="1"/>
      <w:marLeft w:val="0"/>
      <w:marRight w:val="0"/>
      <w:marTop w:val="0"/>
      <w:marBottom w:val="0"/>
      <w:divBdr>
        <w:top w:val="none" w:sz="0" w:space="0" w:color="auto"/>
        <w:left w:val="none" w:sz="0" w:space="0" w:color="auto"/>
        <w:bottom w:val="none" w:sz="0" w:space="0" w:color="auto"/>
        <w:right w:val="none" w:sz="0" w:space="0" w:color="auto"/>
      </w:divBdr>
      <w:divsChild>
        <w:div w:id="835417611">
          <w:marLeft w:val="0"/>
          <w:marRight w:val="0"/>
          <w:marTop w:val="0"/>
          <w:marBottom w:val="0"/>
          <w:divBdr>
            <w:top w:val="none" w:sz="0" w:space="0" w:color="auto"/>
            <w:left w:val="none" w:sz="0" w:space="0" w:color="auto"/>
            <w:bottom w:val="none" w:sz="0" w:space="0" w:color="auto"/>
            <w:right w:val="none" w:sz="0" w:space="0" w:color="auto"/>
          </w:divBdr>
        </w:div>
        <w:div w:id="882984087">
          <w:marLeft w:val="0"/>
          <w:marRight w:val="0"/>
          <w:marTop w:val="0"/>
          <w:marBottom w:val="0"/>
          <w:divBdr>
            <w:top w:val="none" w:sz="0" w:space="0" w:color="auto"/>
            <w:left w:val="none" w:sz="0" w:space="0" w:color="auto"/>
            <w:bottom w:val="none" w:sz="0" w:space="0" w:color="auto"/>
            <w:right w:val="none" w:sz="0" w:space="0" w:color="auto"/>
          </w:divBdr>
        </w:div>
        <w:div w:id="1923830315">
          <w:marLeft w:val="0"/>
          <w:marRight w:val="0"/>
          <w:marTop w:val="0"/>
          <w:marBottom w:val="0"/>
          <w:divBdr>
            <w:top w:val="none" w:sz="0" w:space="0" w:color="auto"/>
            <w:left w:val="none" w:sz="0" w:space="0" w:color="auto"/>
            <w:bottom w:val="none" w:sz="0" w:space="0" w:color="auto"/>
            <w:right w:val="none" w:sz="0" w:space="0" w:color="auto"/>
          </w:divBdr>
        </w:div>
      </w:divsChild>
    </w:div>
    <w:div w:id="1825320521">
      <w:bodyDiv w:val="1"/>
      <w:marLeft w:val="0"/>
      <w:marRight w:val="0"/>
      <w:marTop w:val="0"/>
      <w:marBottom w:val="0"/>
      <w:divBdr>
        <w:top w:val="none" w:sz="0" w:space="0" w:color="auto"/>
        <w:left w:val="none" w:sz="0" w:space="0" w:color="auto"/>
        <w:bottom w:val="none" w:sz="0" w:space="0" w:color="auto"/>
        <w:right w:val="none" w:sz="0" w:space="0" w:color="auto"/>
      </w:divBdr>
      <w:divsChild>
        <w:div w:id="1510872308">
          <w:marLeft w:val="0"/>
          <w:marRight w:val="0"/>
          <w:marTop w:val="0"/>
          <w:marBottom w:val="0"/>
          <w:divBdr>
            <w:top w:val="none" w:sz="0" w:space="0" w:color="auto"/>
            <w:left w:val="none" w:sz="0" w:space="0" w:color="auto"/>
            <w:bottom w:val="none" w:sz="0" w:space="0" w:color="auto"/>
            <w:right w:val="none" w:sz="0" w:space="0" w:color="auto"/>
          </w:divBdr>
          <w:divsChild>
            <w:div w:id="816923882">
              <w:marLeft w:val="0"/>
              <w:marRight w:val="0"/>
              <w:marTop w:val="0"/>
              <w:marBottom w:val="0"/>
              <w:divBdr>
                <w:top w:val="none" w:sz="0" w:space="0" w:color="auto"/>
                <w:left w:val="none" w:sz="0" w:space="0" w:color="auto"/>
                <w:bottom w:val="none" w:sz="0" w:space="0" w:color="auto"/>
                <w:right w:val="none" w:sz="0" w:space="0" w:color="auto"/>
              </w:divBdr>
            </w:div>
            <w:div w:id="1323699927">
              <w:marLeft w:val="0"/>
              <w:marRight w:val="0"/>
              <w:marTop w:val="0"/>
              <w:marBottom w:val="0"/>
              <w:divBdr>
                <w:top w:val="none" w:sz="0" w:space="0" w:color="auto"/>
                <w:left w:val="none" w:sz="0" w:space="0" w:color="auto"/>
                <w:bottom w:val="none" w:sz="0" w:space="0" w:color="auto"/>
                <w:right w:val="none" w:sz="0" w:space="0" w:color="auto"/>
              </w:divBdr>
            </w:div>
            <w:div w:id="1484346499">
              <w:marLeft w:val="0"/>
              <w:marRight w:val="0"/>
              <w:marTop w:val="0"/>
              <w:marBottom w:val="0"/>
              <w:divBdr>
                <w:top w:val="none" w:sz="0" w:space="0" w:color="auto"/>
                <w:left w:val="none" w:sz="0" w:space="0" w:color="auto"/>
                <w:bottom w:val="none" w:sz="0" w:space="0" w:color="auto"/>
                <w:right w:val="none" w:sz="0" w:space="0" w:color="auto"/>
              </w:divBdr>
            </w:div>
            <w:div w:id="1114397816">
              <w:marLeft w:val="0"/>
              <w:marRight w:val="0"/>
              <w:marTop w:val="0"/>
              <w:marBottom w:val="0"/>
              <w:divBdr>
                <w:top w:val="none" w:sz="0" w:space="0" w:color="auto"/>
                <w:left w:val="none" w:sz="0" w:space="0" w:color="auto"/>
                <w:bottom w:val="none" w:sz="0" w:space="0" w:color="auto"/>
                <w:right w:val="none" w:sz="0" w:space="0" w:color="auto"/>
              </w:divBdr>
            </w:div>
            <w:div w:id="267005336">
              <w:marLeft w:val="0"/>
              <w:marRight w:val="0"/>
              <w:marTop w:val="0"/>
              <w:marBottom w:val="0"/>
              <w:divBdr>
                <w:top w:val="none" w:sz="0" w:space="0" w:color="auto"/>
                <w:left w:val="none" w:sz="0" w:space="0" w:color="auto"/>
                <w:bottom w:val="none" w:sz="0" w:space="0" w:color="auto"/>
                <w:right w:val="none" w:sz="0" w:space="0" w:color="auto"/>
              </w:divBdr>
            </w:div>
            <w:div w:id="593979427">
              <w:marLeft w:val="0"/>
              <w:marRight w:val="0"/>
              <w:marTop w:val="0"/>
              <w:marBottom w:val="0"/>
              <w:divBdr>
                <w:top w:val="none" w:sz="0" w:space="0" w:color="auto"/>
                <w:left w:val="none" w:sz="0" w:space="0" w:color="auto"/>
                <w:bottom w:val="none" w:sz="0" w:space="0" w:color="auto"/>
                <w:right w:val="none" w:sz="0" w:space="0" w:color="auto"/>
              </w:divBdr>
            </w:div>
            <w:div w:id="617680468">
              <w:marLeft w:val="0"/>
              <w:marRight w:val="0"/>
              <w:marTop w:val="0"/>
              <w:marBottom w:val="0"/>
              <w:divBdr>
                <w:top w:val="none" w:sz="0" w:space="0" w:color="auto"/>
                <w:left w:val="none" w:sz="0" w:space="0" w:color="auto"/>
                <w:bottom w:val="none" w:sz="0" w:space="0" w:color="auto"/>
                <w:right w:val="none" w:sz="0" w:space="0" w:color="auto"/>
              </w:divBdr>
            </w:div>
            <w:div w:id="643896567">
              <w:marLeft w:val="0"/>
              <w:marRight w:val="0"/>
              <w:marTop w:val="0"/>
              <w:marBottom w:val="0"/>
              <w:divBdr>
                <w:top w:val="none" w:sz="0" w:space="0" w:color="auto"/>
                <w:left w:val="none" w:sz="0" w:space="0" w:color="auto"/>
                <w:bottom w:val="none" w:sz="0" w:space="0" w:color="auto"/>
                <w:right w:val="none" w:sz="0" w:space="0" w:color="auto"/>
              </w:divBdr>
            </w:div>
            <w:div w:id="1646929384">
              <w:marLeft w:val="0"/>
              <w:marRight w:val="0"/>
              <w:marTop w:val="0"/>
              <w:marBottom w:val="0"/>
              <w:divBdr>
                <w:top w:val="none" w:sz="0" w:space="0" w:color="auto"/>
                <w:left w:val="none" w:sz="0" w:space="0" w:color="auto"/>
                <w:bottom w:val="none" w:sz="0" w:space="0" w:color="auto"/>
                <w:right w:val="none" w:sz="0" w:space="0" w:color="auto"/>
              </w:divBdr>
            </w:div>
          </w:divsChild>
        </w:div>
        <w:div w:id="273369516">
          <w:marLeft w:val="0"/>
          <w:marRight w:val="0"/>
          <w:marTop w:val="0"/>
          <w:marBottom w:val="0"/>
          <w:divBdr>
            <w:top w:val="none" w:sz="0" w:space="0" w:color="auto"/>
            <w:left w:val="none" w:sz="0" w:space="0" w:color="auto"/>
            <w:bottom w:val="none" w:sz="0" w:space="0" w:color="auto"/>
            <w:right w:val="none" w:sz="0" w:space="0" w:color="auto"/>
          </w:divBdr>
          <w:divsChild>
            <w:div w:id="17960969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1221435">
      <w:bodyDiv w:val="1"/>
      <w:marLeft w:val="0"/>
      <w:marRight w:val="0"/>
      <w:marTop w:val="0"/>
      <w:marBottom w:val="0"/>
      <w:divBdr>
        <w:top w:val="none" w:sz="0" w:space="0" w:color="auto"/>
        <w:left w:val="none" w:sz="0" w:space="0" w:color="auto"/>
        <w:bottom w:val="none" w:sz="0" w:space="0" w:color="auto"/>
        <w:right w:val="none" w:sz="0" w:space="0" w:color="auto"/>
      </w:divBdr>
      <w:divsChild>
        <w:div w:id="2037541619">
          <w:marLeft w:val="0"/>
          <w:marRight w:val="0"/>
          <w:marTop w:val="0"/>
          <w:marBottom w:val="0"/>
          <w:divBdr>
            <w:top w:val="none" w:sz="0" w:space="0" w:color="auto"/>
            <w:left w:val="none" w:sz="0" w:space="0" w:color="auto"/>
            <w:bottom w:val="none" w:sz="0" w:space="0" w:color="auto"/>
            <w:right w:val="none" w:sz="0" w:space="0" w:color="auto"/>
          </w:divBdr>
        </w:div>
        <w:div w:id="29356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5245</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dc:creator>
  <cp:lastModifiedBy>tamarya</cp:lastModifiedBy>
  <cp:revision>2</cp:revision>
  <dcterms:created xsi:type="dcterms:W3CDTF">2016-06-30T06:27:00Z</dcterms:created>
  <dcterms:modified xsi:type="dcterms:W3CDTF">2016-06-30T06:27:00Z</dcterms:modified>
</cp:coreProperties>
</file>